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36"/>
          <w:szCs w:val="36"/>
        </w:rPr>
      </w:pPr>
      <w:r>
        <w:rPr>
          <w:rFonts w:ascii="Times New Roman" w:hAnsi="Times New Roman"/>
          <w:sz w:val="36"/>
          <w:szCs w:val="36"/>
          <w:rtl w:val="0"/>
          <w:lang w:val="en-US"/>
        </w:rPr>
        <w:t>HR Analytics Data Cleaning and Preprocessing</w:t>
      </w:r>
    </w:p>
    <w:p>
      <w:pPr>
        <w:pStyle w:val="Body"/>
        <w:rPr>
          <w:rFonts w:ascii="Times New Roman" w:cs="Times New Roman" w:hAnsi="Times New Roman" w:eastAsia="Times New Roman"/>
        </w:rPr>
      </w:pPr>
    </w:p>
    <w:p>
      <w:pPr>
        <w:pStyle w:val="Title"/>
        <w:rPr>
          <w:rFonts w:ascii="Times New Roman" w:cs="Times New Roman" w:hAnsi="Times New Roman" w:eastAsia="Times New Roman"/>
          <w:sz w:val="24"/>
          <w:szCs w:val="24"/>
        </w:rPr>
      </w:pPr>
      <w:r>
        <w:rPr>
          <w:rFonts w:ascii="Times New Roman" w:hAnsi="Times New Roman"/>
          <w:sz w:val="32"/>
          <w:szCs w:val="32"/>
          <w:rtl w:val="0"/>
          <w:lang w:val="fr-FR"/>
        </w:rPr>
        <w:t>Introduction</w:t>
      </w:r>
    </w:p>
    <w:p>
      <w:pPr>
        <w:pStyle w:val="Title"/>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This report outlines the data ingestion, exploration, and cleaning processes applied to an HR Analytics dataset. The dataset contains corporate employee records, compensation details, and retention metrics. The objective of this workflow is to resolve missing values, handle duplicate entries, and mitigate extreme outliers to prepare the data for downstream predictive modeling and dashboard visualization.</w:t>
      </w:r>
    </w:p>
    <w:p>
      <w:pPr>
        <w:pStyle w:val="Body"/>
        <w:rPr>
          <w:rFonts w:ascii="Times New Roman" w:cs="Times New Roman" w:hAnsi="Times New Roman" w:eastAsia="Times New Roman"/>
          <w:sz w:val="24"/>
          <w:szCs w:val="24"/>
        </w:rPr>
      </w:pPr>
    </w:p>
    <w:p>
      <w:pPr>
        <w:pStyle w:val="Default"/>
        <w:bidi w:val="0"/>
        <w:spacing w:before="0" w:line="240" w:lineRule="auto"/>
        <w:ind w:left="0" w:right="0" w:firstLine="0"/>
        <w:jc w:val="left"/>
        <w:rPr>
          <w:rFonts w:ascii="Times Roman" w:cs="Times Roman" w:hAnsi="Times Roman" w:eastAsia="Times Roman"/>
          <w:sz w:val="24"/>
          <w:szCs w:val="24"/>
          <w:rtl w:val="0"/>
        </w:rPr>
      </w:pPr>
      <w:r>
        <w:rPr>
          <w:rFonts w:ascii="Times Roman" w:hAnsi="Times Roman"/>
          <w:sz w:val="24"/>
          <w:szCs w:val="24"/>
          <w:rtl w:val="0"/>
          <w:lang w:val="en-US"/>
        </w:rPr>
        <w:t>All data manipulation and statistical evaluations were conducted using Python, leveraging the Pandas library for structural transformations and Seaborn for visual outlier detection. By establishing a rigorous preprocessing pipeline, this project not only demonstrates foundational data hygiene practices but also guarantees that subsequent HR attrition models and business intelligence dashboards are built upon a reliable, variance-optimized foundation.</w:t>
      </w:r>
    </w:p>
    <w:p>
      <w:pPr>
        <w:pStyle w:val="Default"/>
        <w:bidi w:val="0"/>
        <w:spacing w:before="0" w:line="240" w:lineRule="auto"/>
        <w:ind w:left="0" w:right="0" w:firstLine="0"/>
        <w:jc w:val="left"/>
        <w:rPr>
          <w:rFonts w:ascii="Times Roman" w:cs="Times Roman" w:hAnsi="Times Roman" w:eastAsia="Times Roman"/>
          <w:sz w:val="24"/>
          <w:szCs w:val="24"/>
          <w:rtl w:val="0"/>
        </w:rPr>
      </w:pPr>
    </w:p>
    <w:p>
      <w:pPr>
        <w:pStyle w:val="Default"/>
        <w:bidi w:val="0"/>
        <w:spacing w:before="0" w:line="240" w:lineRule="auto"/>
        <w:ind w:left="0" w:right="0" w:firstLine="0"/>
        <w:jc w:val="left"/>
        <w:rPr>
          <w:rFonts w:ascii="Times Roman" w:cs="Times Roman" w:hAnsi="Times Roman" w:eastAsia="Times Roman"/>
          <w:sz w:val="24"/>
          <w:szCs w:val="24"/>
          <w:rtl w:val="0"/>
        </w:rPr>
      </w:pPr>
    </w:p>
    <w:p>
      <w:pPr>
        <w:pStyle w:val="Heading"/>
        <w:rPr>
          <w:rFonts w:ascii="Times New Roman" w:cs="Times New Roman" w:hAnsi="Times New Roman" w:eastAsia="Times New Roman"/>
          <w:sz w:val="28"/>
          <w:szCs w:val="28"/>
        </w:rPr>
      </w:pPr>
      <w:r>
        <w:rPr>
          <w:rFonts w:ascii="Times New Roman" w:cs="Times New Roman" w:hAnsi="Times New Roman" w:eastAsia="Times New Roman"/>
          <w:sz w:val="28"/>
          <w:szCs w:val="28"/>
        </w:rPr>
        <w:br w:type="textWrapping"/>
      </w:r>
      <w:r>
        <w:rPr>
          <w:rFonts w:ascii="Times New Roman" w:hAnsi="Times New Roman"/>
          <w:sz w:val="28"/>
          <w:szCs w:val="28"/>
          <w:rtl w:val="0"/>
          <w:lang w:val="en-US"/>
        </w:rPr>
        <w:t>Phase 1: Exploratory Data Analysis (EDA)</w:t>
      </w:r>
      <w:r>
        <w:rPr>
          <w:rFonts w:ascii="Times New Roman" w:hAnsi="Times New Roman"/>
          <w:sz w:val="28"/>
          <w:szCs w:val="28"/>
          <w:rtl w:val="0"/>
          <w:lang w:val="en-US"/>
        </w:rPr>
        <w:t>:</w:t>
      </w:r>
    </w:p>
    <w:p>
      <w:pPr>
        <w:pStyle w:val="Body"/>
        <w:rPr>
          <w:rFonts w:ascii="Times New Roman" w:cs="Times New Roman" w:hAnsi="Times New Roman" w:eastAsia="Times New Roman"/>
          <w:b w:val="1"/>
          <w:bCs w:val="1"/>
          <w:sz w:val="24"/>
          <w:szCs w:val="24"/>
        </w:rPr>
      </w:pPr>
      <w:r>
        <w:rPr>
          <w:rFonts w:ascii="Times New Roman" w:cs="Times New Roman" w:hAnsi="Times New Roman" w:eastAsia="Times New Roman"/>
          <w:b w:val="1"/>
          <w:bCs w:val="1"/>
          <w:sz w:val="24"/>
          <w:szCs w:val="24"/>
        </w:rPr>
        <w:br w:type="textWrapping"/>
      </w:r>
      <w:r>
        <w:rPr>
          <w:rFonts w:ascii="Times New Roman" w:hAnsi="Times New Roman"/>
          <w:b w:val="1"/>
          <w:bCs w:val="1"/>
          <w:sz w:val="24"/>
          <w:szCs w:val="24"/>
          <w:rtl w:val="0"/>
          <w:lang w:val="en-US"/>
        </w:rPr>
        <w:t>df.head()</w:t>
      </w:r>
      <w:r>
        <w:rPr>
          <w:rFonts w:ascii="Times New Roman" w:hAnsi="Times New Roman"/>
          <w:b w:val="1"/>
          <w:bCs w:val="1"/>
          <w:sz w:val="24"/>
          <w:szCs w:val="24"/>
          <w:rtl w:val="0"/>
          <w:lang w:val="en-US"/>
        </w:rPr>
        <w:t>:</w:t>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292998</wp:posOffset>
            </wp:positionV>
            <wp:extent cx="6120057" cy="2397652"/>
            <wp:effectExtent l="0" t="0" r="0" b="0"/>
            <wp:wrapThrough wrapText="bothSides" distL="152400" distR="152400">
              <wp:wrapPolygon edited="1">
                <wp:start x="0" y="0"/>
                <wp:lineTo x="21600" y="0"/>
                <wp:lineTo x="21600" y="21645"/>
                <wp:lineTo x="0" y="21645"/>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6120057" cy="2397652"/>
                    </a:xfrm>
                    <a:prstGeom prst="rect">
                      <a:avLst/>
                    </a:prstGeom>
                    <a:ln w="12700" cap="flat">
                      <a:noFill/>
                      <a:miter lim="400000"/>
                    </a:ln>
                    <a:effectLst/>
                  </pic:spPr>
                </pic:pic>
              </a:graphicData>
            </a:graphic>
          </wp:anchor>
        </w:drawing>
      </w:r>
      <w:r>
        <w:rPr>
          <w:rFonts w:ascii="Times New Roman" w:cs="Times New Roman" w:hAnsi="Times New Roman" w:eastAsia="Times New Roman"/>
          <w:b w:val="1"/>
          <w:bCs w:val="1"/>
          <w:sz w:val="24"/>
          <w:szCs w:val="24"/>
        </w:rPr>
        <w:br w:type="textWrapping"/>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r>
        <w:rPr>
          <w:rFonts w:ascii="Times New Roman" w:hAnsi="Times New Roman"/>
          <w:sz w:val="24"/>
          <w:szCs w:val="24"/>
          <w:rtl w:val="0"/>
          <w:lang w:val="en-US"/>
        </w:rPr>
        <w:t>Figure 1: Initial data inspection showing a mix of numerical and categorical employee attributes.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rPr>
        <w:t>df.info()</w:t>
      </w:r>
      <w:r>
        <w:rPr>
          <w:rFonts w:ascii="Times New Roman" w:hAnsi="Times New Roman"/>
          <w:b w:val="1"/>
          <w:bCs w:val="1"/>
          <w:sz w:val="24"/>
          <w:szCs w:val="24"/>
          <w:rtl w:val="0"/>
          <w:lang w:val="en-US"/>
        </w:rPr>
        <w:t>:</w:t>
      </w:r>
      <w:r>
        <w:rPr>
          <w:rFonts w:ascii="Times New Roman" w:cs="Times New Roman" w:hAnsi="Times New Roman" w:eastAsia="Times New Roman"/>
          <w:b w:val="1"/>
          <w:bCs w:val="1"/>
          <w:sz w:val="24"/>
          <w:szCs w:val="24"/>
        </w:rPr>
        <w:br w:type="textWrapping"/>
      </w: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177695</wp:posOffset>
            </wp:positionV>
            <wp:extent cx="6120057" cy="4118106"/>
            <wp:effectExtent l="0" t="0" r="0" b="0"/>
            <wp:wrapThrough wrapText="bothSides" distL="152400" distR="152400">
              <wp:wrapPolygon edited="1">
                <wp:start x="0" y="0"/>
                <wp:lineTo x="21621" y="0"/>
                <wp:lineTo x="21621" y="21630"/>
                <wp:lineTo x="0" y="21630"/>
                <wp:lineTo x="0" y="0"/>
              </wp:wrapPolygon>
            </wp:wrapThrough>
            <wp:docPr id="1073741826"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5">
                      <a:extLst/>
                    </a:blip>
                    <a:stretch>
                      <a:fillRect/>
                    </a:stretch>
                  </pic:blipFill>
                  <pic:spPr>
                    <a:xfrm>
                      <a:off x="0" y="0"/>
                      <a:ext cx="6120057" cy="4118106"/>
                    </a:xfrm>
                    <a:prstGeom prst="rect">
                      <a:avLst/>
                    </a:prstGeom>
                    <a:ln w="12700" cap="flat">
                      <a:noFill/>
                      <a:miter lim="400000"/>
                    </a:ln>
                    <a:effectLst/>
                  </pic:spPr>
                </pic:pic>
              </a:graphicData>
            </a:graphic>
          </wp:anchor>
        </w:drawing>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Figure 2: The dataset contains 1,480 rows and 38 initial columns</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b w:val="1"/>
          <w:bCs w:val="1"/>
        </w:rPr>
      </w:pPr>
      <w:r>
        <w:rPr>
          <w:rFonts w:ascii="Times New Roman" w:hAnsi="Times New Roman"/>
          <w:b w:val="1"/>
          <w:bCs w:val="1"/>
          <w:sz w:val="24"/>
          <w:szCs w:val="24"/>
          <w:rtl w:val="0"/>
          <w:lang w:val="es-ES_tradnl"/>
        </w:rPr>
        <w:t>df.describe()</w:t>
      </w:r>
      <w:r>
        <w:rPr>
          <w:rFonts w:ascii="Times New Roman" w:cs="Times New Roman" w:hAnsi="Times New Roman" w:eastAsia="Times New Roman"/>
          <w:b w:val="1"/>
          <w:bCs w:val="1"/>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line">
              <wp:posOffset>235238</wp:posOffset>
            </wp:positionV>
            <wp:extent cx="6120057" cy="1781023"/>
            <wp:effectExtent l="0" t="0" r="0" b="0"/>
            <wp:wrapThrough wrapText="bothSides" distL="152400" distR="152400">
              <wp:wrapPolygon edited="1">
                <wp:start x="0" y="0"/>
                <wp:lineTo x="21621" y="0"/>
                <wp:lineTo x="21621" y="21600"/>
                <wp:lineTo x="0" y="21600"/>
                <wp:lineTo x="0" y="0"/>
              </wp:wrapPolygon>
            </wp:wrapThrough>
            <wp:docPr id="1073741827" name="officeArt object" descr="Image"/>
            <wp:cNvGraphicFramePr/>
            <a:graphic xmlns:a="http://schemas.openxmlformats.org/drawingml/2006/main">
              <a:graphicData uri="http://schemas.openxmlformats.org/drawingml/2006/picture">
                <pic:pic xmlns:pic="http://schemas.openxmlformats.org/drawingml/2006/picture">
                  <pic:nvPicPr>
                    <pic:cNvPr id="1073741827" name="Image" descr="Image"/>
                    <pic:cNvPicPr>
                      <a:picLocks noChangeAspect="1"/>
                    </pic:cNvPicPr>
                  </pic:nvPicPr>
                  <pic:blipFill>
                    <a:blip r:embed="rId6">
                      <a:extLst/>
                    </a:blip>
                    <a:stretch>
                      <a:fillRect/>
                    </a:stretch>
                  </pic:blipFill>
                  <pic:spPr>
                    <a:xfrm>
                      <a:off x="0" y="0"/>
                      <a:ext cx="6120057" cy="1781023"/>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Figure 3: Statistical summary revealing zero-variance columns</w:t>
      </w:r>
    </w:p>
    <w:p>
      <w:pPr>
        <w:pStyle w:val="Default"/>
        <w:bidi w:val="0"/>
        <w:spacing w:before="0" w:line="240" w:lineRule="auto"/>
        <w:ind w:left="0" w:right="0" w:firstLine="0"/>
        <w:jc w:val="left"/>
        <w:rPr>
          <w:rFonts w:ascii="Times New Roman" w:cs="Times New Roman" w:hAnsi="Times New Roman" w:eastAsia="Times New Roman"/>
          <w:rtl w:val="0"/>
        </w:rPr>
      </w:pPr>
    </w:p>
    <w:p>
      <w:pPr>
        <w:pStyle w:val="Default"/>
        <w:bidi w:val="0"/>
        <w:spacing w:before="0"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p>
      <w:pPr>
        <w:pStyle w:val="Heading"/>
        <w:rPr>
          <w:rFonts w:ascii="Times New Roman" w:cs="Times New Roman" w:hAnsi="Times New Roman" w:eastAsia="Times New Roman"/>
          <w:sz w:val="28"/>
          <w:szCs w:val="28"/>
        </w:rPr>
      </w:pPr>
      <w:r>
        <w:rPr>
          <w:rFonts w:ascii="Times New Roman" w:hAnsi="Times New Roman"/>
          <w:sz w:val="28"/>
          <w:szCs w:val="28"/>
          <w:rtl w:val="0"/>
          <w:lang w:val="en-US"/>
        </w:rPr>
        <w:t>Phase 2: Data Cleaning and Preprocessing</w:t>
      </w:r>
    </w:p>
    <w:p>
      <w:pPr>
        <w:pStyle w:val="Body"/>
        <w:bidi w:val="0"/>
      </w:pPr>
    </w:p>
    <w:p>
      <w:pPr>
        <w:pStyle w:val="Default"/>
        <w:bidi w:val="0"/>
        <w:spacing w:before="0"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Missing values &amp; Dropping columns</w:t>
      </w:r>
      <w:r>
        <w:rPr>
          <w:rFonts w:ascii="Times Roman" w:cs="Times Roman" w:hAnsi="Times Roman" w:eastAsia="Times Roman"/>
          <w:b w:val="1"/>
          <w:bCs w:val="1"/>
          <w:rtl w:val="0"/>
        </w:rPr>
        <w:drawing xmlns:a="http://schemas.openxmlformats.org/drawingml/2006/main">
          <wp:anchor distT="152400" distB="152400" distL="152400" distR="152400" simplePos="0" relativeHeight="251662336" behindDoc="0" locked="0" layoutInCell="1" allowOverlap="1">
            <wp:simplePos x="0" y="0"/>
            <wp:positionH relativeFrom="margin">
              <wp:posOffset>-6350</wp:posOffset>
            </wp:positionH>
            <wp:positionV relativeFrom="line">
              <wp:posOffset>280729</wp:posOffset>
            </wp:positionV>
            <wp:extent cx="6120057" cy="1966081"/>
            <wp:effectExtent l="0" t="0" r="0" b="0"/>
            <wp:wrapThrough wrapText="bothSides" distL="152400" distR="152400">
              <wp:wrapPolygon edited="1">
                <wp:start x="0" y="0"/>
                <wp:lineTo x="21600" y="0"/>
                <wp:lineTo x="21600" y="21602"/>
                <wp:lineTo x="0" y="21602"/>
                <wp:lineTo x="0" y="0"/>
              </wp:wrapPolygon>
            </wp:wrapThrough>
            <wp:docPr id="1073741828" name="officeArt object" descr="Image"/>
            <wp:cNvGraphicFramePr/>
            <a:graphic xmlns:a="http://schemas.openxmlformats.org/drawingml/2006/main">
              <a:graphicData uri="http://schemas.openxmlformats.org/drawingml/2006/picture">
                <pic:pic xmlns:pic="http://schemas.openxmlformats.org/drawingml/2006/picture">
                  <pic:nvPicPr>
                    <pic:cNvPr id="1073741828" name="Image" descr="Image"/>
                    <pic:cNvPicPr>
                      <a:picLocks noChangeAspect="1"/>
                    </pic:cNvPicPr>
                  </pic:nvPicPr>
                  <pic:blipFill>
                    <a:blip r:embed="rId7">
                      <a:extLst/>
                    </a:blip>
                    <a:stretch>
                      <a:fillRect/>
                    </a:stretch>
                  </pic:blipFill>
                  <pic:spPr>
                    <a:xfrm>
                      <a:off x="0" y="0"/>
                      <a:ext cx="6120057" cy="1966081"/>
                    </a:xfrm>
                    <a:prstGeom prst="rect">
                      <a:avLst/>
                    </a:prstGeom>
                    <a:ln w="12700" cap="flat">
                      <a:noFill/>
                      <a:miter lim="400000"/>
                    </a:ln>
                    <a:effectLst/>
                  </pic:spPr>
                </pic:pic>
              </a:graphicData>
            </a:graphic>
          </wp:anchor>
        </w:drawing>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Figure 4: Code execution dropping 6 irrelevant or zero-variance columns. Missing values in the 'YearsWithCurrManager' column were resolved using median imputation.</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tl w:val="0"/>
        </w:rPr>
      </w:pPr>
      <w:r>
        <w:rPr>
          <w:rFonts w:ascii="Times Roman" w:hAnsi="Times Roman"/>
          <w:b w:val="1"/>
          <w:bCs w:val="1"/>
          <w:rtl w:val="0"/>
          <w:lang w:val="es-ES_tradnl"/>
        </w:rPr>
        <w:t>Boxplots</w:t>
      </w:r>
      <w:r>
        <w:rPr>
          <w:rFonts w:ascii="Times Roman" w:cs="Times Roman" w:hAnsi="Times Roman" w:eastAsia="Times Roman"/>
          <w:rtl w:val="0"/>
        </w:rPr>
        <w:br w:type="textWrapping"/>
      </w:r>
      <w:r>
        <w:rPr>
          <w:rFonts w:ascii="Times Roman" w:cs="Times Roman" w:hAnsi="Times Roman" w:eastAsia="Times Roman"/>
          <w:rtl w:val="0"/>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181519</wp:posOffset>
            </wp:positionV>
            <wp:extent cx="6120057" cy="4153571"/>
            <wp:effectExtent l="0" t="0" r="0" b="0"/>
            <wp:wrapThrough wrapText="bothSides" distL="152400" distR="152400">
              <wp:wrapPolygon edited="1">
                <wp:start x="0" y="0"/>
                <wp:lineTo x="21621" y="0"/>
                <wp:lineTo x="21621" y="21601"/>
                <wp:lineTo x="0" y="21601"/>
                <wp:lineTo x="0" y="0"/>
              </wp:wrapPolygon>
            </wp:wrapThrough>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8">
                      <a:extLst/>
                    </a:blip>
                    <a:stretch>
                      <a:fillRect/>
                    </a:stretch>
                  </pic:blipFill>
                  <pic:spPr>
                    <a:xfrm>
                      <a:off x="0" y="0"/>
                      <a:ext cx="6120057" cy="4153571"/>
                    </a:xfrm>
                    <a:prstGeom prst="rect">
                      <a:avLst/>
                    </a:prstGeom>
                    <a:ln w="12700" cap="flat">
                      <a:noFill/>
                      <a:miter lim="400000"/>
                    </a:ln>
                    <a:effectLst/>
                  </pic:spPr>
                </pic:pic>
              </a:graphicData>
            </a:graphic>
          </wp:anchor>
        </w:drawing>
      </w:r>
      <w:r>
        <w:rPr>
          <w:rFonts w:ascii="Times Roman" w:cs="Times Roman" w:hAnsi="Times Roman" w:eastAsia="Times Roman"/>
          <w:rtl w:val="0"/>
        </w:rPr>
        <w:br w:type="textWrapping"/>
      </w:r>
      <w:r>
        <w:rPr>
          <w:rFonts w:ascii="Times Roman" w:hAnsi="Times Roman"/>
          <w:rtl w:val="0"/>
          <w:lang w:val="en-US"/>
        </w:rPr>
        <w:t>Figure 5: Outlier detection and handling for Monthly Income. The left plot shows heavy right-skewed outliers. The right plot demonstrates the distribution after applying Interquartile Range (IQR) capping.</w:t>
      </w:r>
      <w:r>
        <w:rPr>
          <w:rFonts w:ascii="Arial Unicode MS" w:cs="Arial Unicode MS" w:hAnsi="Arial Unicode MS" w:eastAsia="Arial Unicode MS"/>
          <w:b w:val="0"/>
          <w:bCs w:val="0"/>
          <w:i w:val="0"/>
          <w:iCs w:val="0"/>
          <w:rtl w:val="0"/>
        </w:rPr>
        <w:br w:type="page"/>
      </w:r>
    </w:p>
    <w:p>
      <w:pPr>
        <w:pStyle w:val="Heading"/>
        <w:rPr>
          <w:rFonts w:ascii="Times New Roman" w:cs="Times New Roman" w:hAnsi="Times New Roman" w:eastAsia="Times New Roman"/>
          <w:sz w:val="28"/>
          <w:szCs w:val="28"/>
        </w:rPr>
      </w:pPr>
      <w:r>
        <w:rPr>
          <w:rFonts w:ascii="Times New Roman" w:hAnsi="Times New Roman"/>
          <w:sz w:val="28"/>
          <w:szCs w:val="28"/>
          <w:rtl w:val="0"/>
          <w:lang w:val="en-US"/>
        </w:rPr>
        <w:t>Phase 3: Impact on Subsequent Analysis</w:t>
      </w:r>
    </w:p>
    <w:p>
      <w:pPr>
        <w:pStyle w:val="Body"/>
        <w:bidi w:val="0"/>
      </w:pPr>
    </w:p>
    <w:p>
      <w:pPr>
        <w:pStyle w:val="Body"/>
        <w:bidi w:val="0"/>
      </w:pPr>
    </w:p>
    <w:p>
      <w:pPr>
        <w:pStyle w:val="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preprocessing methodology applied in this workflow fundamentally transforms the raw dataset into a robust, high-fidelity asset primed for advanced predictive modeling and business intelligence visualization. By systematically addressing structural flaws, missingness, and extreme values, the data is now optimized for both algorithmic stability and analytical accuracy.</w:t>
      </w:r>
    </w:p>
    <w:p>
      <w:pPr>
        <w:pStyle w:val="Default"/>
        <w:bidi w:val="0"/>
        <w:spacing w:before="0" w:after="240" w:line="240" w:lineRule="auto"/>
        <w:ind w:left="0" w:right="0" w:firstLine="0"/>
        <w:jc w:val="left"/>
        <w:rPr>
          <w:rFonts w:ascii="Times New Roman" w:cs="Times New Roman" w:hAnsi="Times New Roman" w:eastAsia="Times New Roman"/>
          <w:rtl w:val="0"/>
        </w:rPr>
      </w:pP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Dimensionality Reduction and Noise Elimination:</w:t>
      </w:r>
      <w:r>
        <w:rPr>
          <w:rFonts w:ascii="Times New Roman" w:hAnsi="Times New Roman"/>
          <w:rtl w:val="0"/>
          <w:lang w:val="en-US"/>
        </w:rPr>
        <w:t xml:space="preserve"> The removal of zero-variance features (such as </w:t>
      </w:r>
      <w:r>
        <w:rPr>
          <w:rFonts w:ascii="Times New Roman" w:hAnsi="Times New Roman"/>
          <w:sz w:val="26"/>
          <w:szCs w:val="26"/>
          <w:rtl w:val="0"/>
          <w:lang w:val="en-US"/>
        </w:rPr>
        <w:t>StandardHours</w:t>
      </w:r>
      <w:r>
        <w:rPr>
          <w:rFonts w:ascii="Times New Roman" w:hAnsi="Times New Roman"/>
          <w:rtl w:val="0"/>
        </w:rPr>
        <w:t xml:space="preserve">, </w:t>
      </w:r>
      <w:r>
        <w:rPr>
          <w:rFonts w:ascii="Times New Roman" w:hAnsi="Times New Roman"/>
          <w:sz w:val="26"/>
          <w:szCs w:val="26"/>
          <w:rtl w:val="0"/>
          <w:lang w:val="nl-NL"/>
        </w:rPr>
        <w:t>Over18</w:t>
      </w:r>
      <w:r>
        <w:rPr>
          <w:rFonts w:ascii="Times New Roman" w:hAnsi="Times New Roman"/>
          <w:rtl w:val="0"/>
          <w:lang w:val="en-US"/>
        </w:rPr>
        <w:t xml:space="preserve">, and </w:t>
      </w:r>
      <w:r>
        <w:rPr>
          <w:rFonts w:ascii="Times New Roman" w:hAnsi="Times New Roman"/>
          <w:sz w:val="26"/>
          <w:szCs w:val="26"/>
          <w:rtl w:val="0"/>
          <w:lang w:val="en-US"/>
        </w:rPr>
        <w:t>EmployeeCount</w:t>
      </w:r>
      <w:r>
        <w:rPr>
          <w:rFonts w:ascii="Times New Roman" w:hAnsi="Times New Roman"/>
          <w:rtl w:val="0"/>
          <w:lang w:val="en-US"/>
        </w:rPr>
        <w:t>) and non-predictive identifiers (</w:t>
      </w:r>
      <w:r>
        <w:rPr>
          <w:rFonts w:ascii="Times New Roman" w:hAnsi="Times New Roman"/>
          <w:sz w:val="26"/>
          <w:szCs w:val="26"/>
          <w:rtl w:val="0"/>
          <w:lang w:val="pt-PT"/>
        </w:rPr>
        <w:t>EmpID</w:t>
      </w:r>
      <w:r>
        <w:rPr>
          <w:rFonts w:ascii="Times New Roman" w:hAnsi="Times New Roman"/>
          <w:rtl w:val="0"/>
        </w:rPr>
        <w:t xml:space="preserve">, </w:t>
      </w:r>
      <w:r>
        <w:rPr>
          <w:rFonts w:ascii="Times New Roman" w:hAnsi="Times New Roman"/>
          <w:sz w:val="26"/>
          <w:szCs w:val="26"/>
          <w:rtl w:val="0"/>
          <w:lang w:val="en-US"/>
        </w:rPr>
        <w:t>EmployeeNumber</w:t>
      </w:r>
      <w:r>
        <w:rPr>
          <w:rFonts w:ascii="Times New Roman" w:hAnsi="Times New Roman"/>
          <w:rtl w:val="0"/>
          <w:lang w:val="en-US"/>
        </w:rPr>
        <w:t>) directly combats the curse of dimensionality. Zero-variance features contribute zero information gain to machine learning algorithms. Retaining them would only introduce computational overhead and risk confusing variance-dependent models like Principal Component Analysis (PCA) or K-Means clustering. Furthermore, stripping unique identifiers ensures that algorithms cannot memorize individual records, thereby preventing overfitting and forcing the model to learn generalized patterns regarding employee attrition.</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Preservation of Statistical Power via Robust Imputation:</w:t>
      </w:r>
      <w:r>
        <w:rPr>
          <w:rFonts w:ascii="Times New Roman" w:hAnsi="Times New Roman"/>
          <w:rtl w:val="0"/>
          <w:lang w:val="en-US"/>
        </w:rPr>
        <w:t xml:space="preserve"> The decision to resolve the 57 missing entries in the </w:t>
      </w:r>
      <w:r>
        <w:rPr>
          <w:rFonts w:ascii="Times New Roman" w:hAnsi="Times New Roman"/>
          <w:sz w:val="26"/>
          <w:szCs w:val="26"/>
          <w:rtl w:val="0"/>
          <w:lang w:val="en-US"/>
        </w:rPr>
        <w:t>YearsWithCurrManager</w:t>
      </w:r>
      <w:r>
        <w:rPr>
          <w:rFonts w:ascii="Times New Roman" w:hAnsi="Times New Roman"/>
          <w:rtl w:val="0"/>
          <w:lang w:val="en-US"/>
        </w:rPr>
        <w:t xml:space="preserve"> column using median imputation, rather than listwise deletion, preserved nearly 4% of the dataset. In a concentrated corporate dataset of 1,480 records, maintaining data volume is crucial for model training. Deleting those rows could have inadvertently introduced survivorship bias if the missing data correlated with a specific employee cohort (e.g., recent hires). Utilizing the median rather than the mean ensured that the imputation remained mathematically robust and unaffected by highly tenured outliers, preserving the feature's natural distribution.</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Algorithmic Stabilization through Outlier Capping:</w:t>
      </w:r>
      <w:r>
        <w:rPr>
          <w:rFonts w:ascii="Times New Roman" w:hAnsi="Times New Roman"/>
          <w:rtl w:val="0"/>
          <w:lang w:val="en-US"/>
        </w:rPr>
        <w:t xml:space="preserve"> Extreme compensation values in the </w:t>
      </w:r>
      <w:r>
        <w:rPr>
          <w:rFonts w:ascii="Times New Roman" w:hAnsi="Times New Roman"/>
          <w:sz w:val="26"/>
          <w:szCs w:val="26"/>
          <w:rtl w:val="0"/>
          <w:lang w:val="en-US"/>
        </w:rPr>
        <w:t>MonthlyIncome</w:t>
      </w:r>
      <w:r>
        <w:rPr>
          <w:rFonts w:ascii="Times New Roman" w:hAnsi="Times New Roman"/>
          <w:rtl w:val="0"/>
          <w:lang w:val="en-US"/>
        </w:rPr>
        <w:t xml:space="preserve"> feature can severely distort the objective functions of predictive models. Distance-based algorithms (such as K-Nearest Neighbors and Support Vector Machines) and gradient descent-optimized models (like Logistic Regression) are disproportionately penalized by unscaled outliers. By applying the Interquartile Range (IQR) bounding method, the extreme values belonging to top-earning executives were mathematically capped. This approach preserves the hierarchical ranking of employee salaries without allowing the absolute magnitude of a few outliers to skew classification boundaries or regression slopes.</w:t>
      </w:r>
    </w:p>
    <w:p>
      <w:pPr>
        <w:pStyle w:val="Default"/>
        <w:numPr>
          <w:ilvl w:val="0"/>
          <w:numId w:val="2"/>
        </w:numPr>
        <w:bidi w:val="0"/>
        <w:spacing w:before="0" w:after="240" w:line="240" w:lineRule="auto"/>
        <w:ind w:right="0"/>
        <w:jc w:val="left"/>
        <w:rPr>
          <w:rFonts w:ascii="Times New Roman" w:hAnsi="Times New Roman"/>
          <w:rtl w:val="0"/>
          <w:lang w:val="en-US"/>
        </w:rPr>
      </w:pPr>
      <w:r>
        <w:rPr>
          <w:rFonts w:ascii="Times New Roman" w:hAnsi="Times New Roman"/>
          <w:b w:val="1"/>
          <w:bCs w:val="1"/>
          <w:rtl w:val="0"/>
          <w:lang w:val="en-US"/>
        </w:rPr>
        <w:t>Business Intelligence Readiness:</w:t>
      </w:r>
      <w:r>
        <w:rPr>
          <w:rFonts w:ascii="Times New Roman" w:hAnsi="Times New Roman"/>
          <w:rtl w:val="0"/>
          <w:lang w:val="en-US"/>
        </w:rPr>
        <w:t xml:space="preserve"> Ultimately, these transformations ensure that when this dataset is fed into visualization tools like Tableau or used to train an Attrition Prediction Model, the resulting insights will be statistically sound. The sanitized data is now strictly representative of true workforce trends, enabling reliable, data-driven strategic decision-making for HR stakeholders.</w:t>
      </w:r>
    </w:p>
    <w:sectPr>
      <w:headerReference w:type="default" r:id="rId9"/>
      <w:footerReference w:type="default" r:id="rId10"/>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