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52"/>
          <w:szCs w:val="52"/>
        </w:rPr>
      </w:pPr>
      <w:r>
        <w:rPr>
          <w:rFonts w:ascii="Times New Roman" w:hAnsi="Times New Roman"/>
          <w:sz w:val="52"/>
          <w:szCs w:val="52"/>
          <w:rtl w:val="0"/>
          <w:lang w:val="en-US"/>
        </w:rPr>
        <w:t>Integrative Capstone Project: End-to-End HR Attrition Analytics Pipeline</w:t>
      </w:r>
    </w:p>
    <w:p>
      <w:pPr>
        <w:pStyle w:val="Heading"/>
        <w:rPr>
          <w:rFonts w:ascii="Times New Roman" w:cs="Times New Roman" w:hAnsi="Times New Roman" w:eastAsia="Times New Roman"/>
        </w:rPr>
      </w:pPr>
    </w:p>
    <w:p>
      <w:pPr>
        <w:pStyle w:val="Heading"/>
        <w:rPr>
          <w:rFonts w:ascii="Times New Roman" w:cs="Times New Roman" w:hAnsi="Times New Roman" w:eastAsia="Times New Roman"/>
          <w:b w:val="0"/>
          <w:bCs w:val="0"/>
        </w:rPr>
      </w:pPr>
      <w:r>
        <w:rPr>
          <w:rFonts w:ascii="Times New Roman" w:hAnsi="Times New Roman"/>
          <w:rtl w:val="0"/>
          <w:lang w:val="en-US"/>
        </w:rPr>
        <w:t>1. Executive Summary &amp; Problem Statement</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en-US"/>
        </w:rPr>
        <w:t>Problem Statement:</w:t>
      </w:r>
      <w:r>
        <w:rPr>
          <w:rFonts w:ascii="Times New Roman" w:hAnsi="Times New Roman"/>
          <w:rtl w:val="0"/>
          <w:lang w:val="en-US"/>
        </w:rPr>
        <w:t xml:space="preserve"> Corporate employee attrition represents a massive financial and operational liability. The objective of this capstone project is to design and execute a full, end-to-end data science pipeline capable of diagnosing the root causes of employee turnover and predicting future flight risks.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en-US"/>
        </w:rPr>
        <w:t>Methodological Approach:</w:t>
      </w:r>
      <w:r>
        <w:rPr>
          <w:rFonts w:ascii="Times New Roman" w:hAnsi="Times New Roman"/>
          <w:rtl w:val="0"/>
          <w:lang w:val="en-US"/>
        </w:rPr>
        <w:t xml:space="preserve"> This project leverages a publicly available HR Analytics dataset containing 1,480 employee records across 38 demographic and compensation metrics. The pipeline executes five distinct phases using Python:</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Data Preprocessing:</w:t>
      </w:r>
      <w:r>
        <w:rPr>
          <w:rFonts w:ascii="Times New Roman" w:hAnsi="Times New Roman"/>
          <w:rtl w:val="0"/>
          <w:lang w:val="en-US"/>
        </w:rPr>
        <w:t xml:space="preserve"> Handling missing values, standardizing formats, and mathematically bounding outliers using the IQR method.</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Exploratory Data Analysis (EDA):</w:t>
      </w:r>
      <w:r>
        <w:rPr>
          <w:rFonts w:ascii="Times New Roman" w:hAnsi="Times New Roman"/>
          <w:rtl w:val="0"/>
          <w:lang w:val="en-US"/>
        </w:rPr>
        <w:t xml:space="preserve"> Utilizing Pandas and Seaborn to visually uncover a "loyalty penalty" regarding internal tenure versus external market compensation.</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Unsupervised Learning:</w:t>
      </w:r>
      <w:r>
        <w:rPr>
          <w:rFonts w:ascii="Times New Roman" w:hAnsi="Times New Roman"/>
          <w:rtl w:val="0"/>
          <w:lang w:val="en-US"/>
        </w:rPr>
        <w:t xml:space="preserve"> Applying K-Means clustering (k=3) optimized via the Elbow Method to autonomously segment the workforce into three distinct operational personas.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Supervised Learning:</w:t>
      </w:r>
      <w:r>
        <w:rPr>
          <w:rFonts w:ascii="Times New Roman" w:hAnsi="Times New Roman"/>
          <w:rtl w:val="0"/>
          <w:lang w:val="en-US"/>
        </w:rPr>
        <w:t xml:space="preserve"> Benchmarking a parametric Logistic Regression baseline against a deep learning Artificial Neural Network (TensorFlow/Keras) to predict binary attrition (</w:t>
      </w:r>
      <w:r>
        <w:rPr>
          <w:rFonts w:ascii="Times New Roman" w:hAnsi="Times New Roman"/>
          <w:sz w:val="26"/>
          <w:szCs w:val="26"/>
          <w:rtl w:val="0"/>
          <w:lang w:val="en-US"/>
        </w:rPr>
        <w:t>Yes=1</w:t>
      </w:r>
      <w:r>
        <w:rPr>
          <w:rFonts w:ascii="Times New Roman" w:hAnsi="Times New Roman"/>
          <w:rtl w:val="0"/>
        </w:rPr>
        <w:t xml:space="preserve">, </w:t>
      </w:r>
      <w:r>
        <w:rPr>
          <w:rFonts w:ascii="Times New Roman" w:hAnsi="Times New Roman"/>
          <w:sz w:val="26"/>
          <w:szCs w:val="26"/>
          <w:rtl w:val="0"/>
        </w:rPr>
        <w:t>No=0</w:t>
      </w:r>
      <w:r>
        <w:rPr>
          <w:rFonts w:ascii="Times New Roman" w:hAnsi="Times New Roman"/>
          <w:rtl w:val="0"/>
        </w:rPr>
        <w:t>).</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Evaluation:</w:t>
      </w:r>
      <w:r>
        <w:rPr>
          <w:rFonts w:ascii="Times New Roman" w:hAnsi="Times New Roman"/>
          <w:rtl w:val="0"/>
          <w:lang w:val="en-US"/>
        </w:rPr>
        <w:t xml:space="preserve"> Utilizing Stratified K-Fold cross-validation, algorithmic class weighting, and ROC-AUC metrics to handle severe class imbalances and prioritize minority-class recall.</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To maximize the impact of this capstone when presenting it to hiring managers, you can subsequently push the finalized Jupyter Notebook to your Git repository alongside a README.md file, and export the preprocessed data to build an interactive Tableau dashboard, proving you can handle both backend modeling and frontend business intelligence.</w:t>
      </w:r>
    </w:p>
    <w:p>
      <w:pPr>
        <w:pStyle w:val="Heading"/>
        <w:rPr>
          <w:rFonts w:ascii="Times New Roman" w:cs="Times New Roman" w:hAnsi="Times New Roman" w:eastAsia="Times New Roman"/>
          <w:b w:val="0"/>
          <w:bCs w:val="0"/>
        </w:rPr>
      </w:pPr>
      <w:r>
        <w:rPr>
          <w:rFonts w:ascii="Times New Roman" w:hAnsi="Times New Roman"/>
          <w:rtl w:val="0"/>
          <w:lang w:val="it-IT"/>
        </w:rPr>
        <w:t>2. Data Acquisition &amp; Preprocessing</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raw HR Analytics dataset (1,480 records, 38 initial attributes) required rigorous sanitization to ensure mathematical stability for downstream machine learning algorithms. All preprocessing was executed using the Python Pandas library.</w:t>
      </w:r>
    </w:p>
    <w:p>
      <w:pPr>
        <w:pStyle w:val="Default"/>
        <w:numPr>
          <w:ilvl w:val="0"/>
          <w:numId w:val="4"/>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Dimensionality Reduction:</w:t>
      </w:r>
      <w:r>
        <w:rPr>
          <w:rFonts w:ascii="Times New Roman" w:hAnsi="Times New Roman"/>
          <w:rtl w:val="0"/>
          <w:lang w:val="en-US"/>
        </w:rPr>
        <w:t xml:space="preserve"> Six non-predictive identifiers (e.g., </w:t>
      </w:r>
      <w:r>
        <w:rPr>
          <w:rFonts w:ascii="Times New Roman" w:hAnsi="Times New Roman"/>
          <w:sz w:val="26"/>
          <w:szCs w:val="26"/>
          <w:rtl w:val="0"/>
          <w:lang w:val="pt-PT"/>
        </w:rPr>
        <w:t>EmpID</w:t>
      </w:r>
      <w:r>
        <w:rPr>
          <w:rFonts w:ascii="Times New Roman" w:hAnsi="Times New Roman"/>
          <w:rtl w:val="0"/>
          <w:lang w:val="en-US"/>
        </w:rPr>
        <w:t xml:space="preserve">) and zero-variance features (e.g., </w:t>
      </w:r>
      <w:r>
        <w:rPr>
          <w:rFonts w:ascii="Times New Roman" w:hAnsi="Times New Roman"/>
          <w:sz w:val="26"/>
          <w:szCs w:val="26"/>
          <w:rtl w:val="0"/>
          <w:lang w:val="en-US"/>
        </w:rPr>
        <w:t>StandardHours</w:t>
      </w:r>
      <w:r>
        <w:rPr>
          <w:rFonts w:ascii="Times New Roman" w:hAnsi="Times New Roman"/>
          <w:rtl w:val="0"/>
        </w:rPr>
        <w:t xml:space="preserve">, </w:t>
      </w:r>
      <w:r>
        <w:rPr>
          <w:rFonts w:ascii="Times New Roman" w:hAnsi="Times New Roman"/>
          <w:sz w:val="26"/>
          <w:szCs w:val="26"/>
          <w:rtl w:val="0"/>
          <w:lang w:val="en-US"/>
        </w:rPr>
        <w:t>EmployeeCount</w:t>
      </w:r>
      <w:r>
        <w:rPr>
          <w:rFonts w:ascii="Times New Roman" w:hAnsi="Times New Roman"/>
          <w:rtl w:val="0"/>
          <w:lang w:val="en-US"/>
        </w:rPr>
        <w:t>) were dropped to reduce computational noise and mitigate the curse of dimensionality.</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numPr>
          <w:ilvl w:val="0"/>
          <w:numId w:val="4"/>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Imputation Strategy:</w:t>
      </w:r>
      <w:r>
        <w:rPr>
          <w:rFonts w:ascii="Times New Roman" w:hAnsi="Times New Roman"/>
          <w:rtl w:val="0"/>
          <w:lang w:val="en-US"/>
        </w:rPr>
        <w:t xml:space="preserve"> The </w:t>
      </w:r>
      <w:r>
        <w:rPr>
          <w:rFonts w:ascii="Times New Roman" w:hAnsi="Times New Roman"/>
          <w:sz w:val="26"/>
          <w:szCs w:val="26"/>
          <w:rtl w:val="0"/>
          <w:lang w:val="en-US"/>
        </w:rPr>
        <w:t>YearsWithCurrManager</w:t>
      </w:r>
      <w:r>
        <w:rPr>
          <w:rFonts w:ascii="Times New Roman" w:hAnsi="Times New Roman"/>
          <w:rtl w:val="0"/>
          <w:lang w:val="en-US"/>
        </w:rPr>
        <w:t xml:space="preserve"> feature contained 57 missing entries (~3.8% of the data). To preserve row volume without skewing the distribution,</w:t>
      </w:r>
      <w:r>
        <w:rPr>
          <w:rFonts w:ascii="Times New Roman" w:cs="Times New Roman" w:hAnsi="Times New Roman" w:eastAsia="Times New Roman"/>
          <w:rtl w:val="0"/>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page">
              <wp:posOffset>481834</wp:posOffset>
            </wp:positionV>
            <wp:extent cx="6120058" cy="4118106"/>
            <wp:effectExtent l="0" t="0" r="0" b="0"/>
            <wp:wrapThrough wrapText="bothSides" distL="152400" distR="152400">
              <wp:wrapPolygon edited="1">
                <wp:start x="0" y="0"/>
                <wp:lineTo x="21621" y="0"/>
                <wp:lineTo x="21621" y="21630"/>
                <wp:lineTo x="0" y="21630"/>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6120058" cy="4118106"/>
                    </a:xfrm>
                    <a:prstGeom prst="rect">
                      <a:avLst/>
                    </a:prstGeom>
                    <a:ln w="12700" cap="flat">
                      <a:noFill/>
                      <a:miter lim="400000"/>
                    </a:ln>
                    <a:effectLst/>
                  </pic:spPr>
                </pic:pic>
              </a:graphicData>
            </a:graphic>
          </wp:anchor>
        </w:drawing>
      </w:r>
      <w:r>
        <w:rPr>
          <w:rFonts w:ascii="Times New Roman" w:hAnsi="Times New Roman"/>
          <w:rtl w:val="0"/>
          <w:lang w:val="en-US"/>
        </w:rPr>
        <w:t xml:space="preserve"> missing values were resolved via median imputation.</w:t>
      </w:r>
    </w:p>
    <w:p>
      <w:pPr>
        <w:pStyle w:val="Default"/>
        <w:numPr>
          <w:ilvl w:val="0"/>
          <w:numId w:val="4"/>
        </w:numPr>
        <w:bidi w:val="0"/>
        <w:spacing w:before="0" w:after="240" w:line="240" w:lineRule="auto"/>
        <w:ind w:right="0"/>
        <w:jc w:val="left"/>
        <w:rPr>
          <w:rFonts w:ascii="Times New Roman" w:hAnsi="Times New Roman"/>
          <w:rtl w:val="0"/>
          <w:lang w:val="de-DE"/>
        </w:rPr>
      </w:pPr>
      <w:r>
        <w:rPr>
          <w:rFonts w:ascii="Times New Roman" w:hAnsi="Times New Roman"/>
          <w:b w:val="1"/>
          <w:bCs w:val="1"/>
          <w:rtl w:val="0"/>
          <w:lang w:val="de-DE"/>
        </w:rPr>
        <w:t>Outlier Mitigation:</w:t>
      </w:r>
      <w:r>
        <w:rPr>
          <w:rFonts w:ascii="Times New Roman" w:hAnsi="Times New Roman"/>
          <w:rtl w:val="0"/>
          <w:lang w:val="en-US"/>
        </w:rPr>
        <w:t xml:space="preserve"> Visual inspection via Seaborn boxplots revealed extreme right-skewed outliers in the </w:t>
      </w:r>
      <w:r>
        <w:rPr>
          <w:rFonts w:ascii="Times New Roman" w:hAnsi="Times New Roman"/>
          <w:sz w:val="26"/>
          <w:szCs w:val="26"/>
          <w:rtl w:val="0"/>
          <w:lang w:val="en-US"/>
        </w:rPr>
        <w:t>MonthlyIncome</w:t>
      </w:r>
      <w:r>
        <w:rPr>
          <w:rFonts w:ascii="Times New Roman" w:hAnsi="Times New Roman"/>
          <w:rtl w:val="0"/>
          <w:lang w:val="en-US"/>
        </w:rPr>
        <w:t xml:space="preserve"> feature. The Interquartile Range (IQR) method was mathematically applied to establish upper boundaries, capping executive salaries to prevent distance-based clustering algorithms and neural networks from being disproportionately biased by extreme magnitudes.</w:t>
      </w:r>
    </w:p>
    <w:p>
      <w:pPr>
        <w:pStyle w:val="Heading"/>
        <w:rPr>
          <w:rFonts w:ascii="Times New Roman" w:cs="Times New Roman" w:hAnsi="Times New Roman" w:eastAsia="Times New Roman"/>
        </w:rPr>
      </w:pPr>
      <w:r>
        <w:rPr>
          <w:rFonts w:ascii="Times New Roman" w:hAnsi="Times New Roman"/>
          <w:rtl w:val="0"/>
          <w:lang w:val="en-US"/>
        </w:rPr>
        <w:t>3. Exploratory Data Analysis (EDA)</w:t>
      </w:r>
    </w:p>
    <w:p>
      <w:pPr>
        <w:pStyle w:val="Body"/>
        <w:rPr>
          <w:rFonts w:ascii="Times New Roman" w:cs="Times New Roman" w:hAnsi="Times New Roman" w:eastAsia="Times New Roman"/>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With a sanitized dataset (1,480 rows, 32 columns), an Exploratory Data Analysis was conducted using Matplotlib and Seaborn to extract baseline workforce trends and diagnose potential retention risks.</w:t>
      </w:r>
    </w:p>
    <w:p>
      <w:pPr>
        <w:pStyle w:val="Default"/>
        <w:numPr>
          <w:ilvl w:val="0"/>
          <w:numId w:val="4"/>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Univariate Analysis (Class Imbalance):</w:t>
      </w:r>
      <w:r>
        <w:rPr>
          <w:rFonts w:ascii="Times New Roman" w:hAnsi="Times New Roman"/>
          <w:rtl w:val="0"/>
          <w:lang w:val="en-US"/>
        </w:rPr>
        <w:t xml:space="preserve"> The target variable (</w:t>
      </w:r>
      <w:r>
        <w:rPr>
          <w:rFonts w:ascii="Times New Roman" w:hAnsi="Times New Roman"/>
          <w:sz w:val="26"/>
          <w:szCs w:val="26"/>
          <w:rtl w:val="0"/>
          <w:lang w:val="en-US"/>
        </w:rPr>
        <w:t>Attrition</w:t>
      </w:r>
      <w:r>
        <w:rPr>
          <w:rFonts w:ascii="Times New Roman" w:hAnsi="Times New Roman"/>
          <w:rtl w:val="0"/>
          <w:lang w:val="en-US"/>
        </w:rPr>
        <w:t>) exhibited a severe class imbalance, with 16.15% of employees departing versus 83.85% being retained. The age distribution approximated a normal distribution, heavily concentrated between 30 and 35 years old.</w:t>
      </w:r>
    </w:p>
    <w:p>
      <w:pPr>
        <w:pStyle w:val="Default"/>
        <w:numPr>
          <w:ilvl w:val="0"/>
          <w:numId w:val="4"/>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Bivariate Analysis (Compensation Discrepancy):</w:t>
      </w:r>
      <w:r>
        <w:rPr>
          <w:rFonts w:ascii="Times New Roman" w:hAnsi="Times New Roman"/>
          <w:rtl w:val="0"/>
          <w:lang w:val="en-US"/>
        </w:rPr>
        <w:t xml:space="preserve"> Cross-tabulations and comparative boxplots confirmed that departing employees possessed a significantly lower median </w:t>
      </w:r>
      <w:r>
        <w:rPr>
          <w:rFonts w:ascii="Times New Roman" w:hAnsi="Times New Roman"/>
          <w:sz w:val="26"/>
          <w:szCs w:val="26"/>
          <w:rtl w:val="0"/>
          <w:lang w:val="en-US"/>
        </w:rPr>
        <w:t>MonthlyIncome</w:t>
      </w:r>
      <w:r>
        <w:rPr>
          <w:rFonts w:ascii="Times New Roman" w:hAnsi="Times New Roman"/>
          <w:rtl w:val="0"/>
          <w:lang w:val="en-US"/>
        </w:rPr>
        <w:t xml:space="preserve"> and fewer </w:t>
      </w:r>
      <w:r>
        <w:rPr>
          <w:rFonts w:ascii="Times New Roman" w:hAnsi="Times New Roman"/>
          <w:sz w:val="26"/>
          <w:szCs w:val="26"/>
          <w:rtl w:val="0"/>
          <w:lang w:val="en-US"/>
        </w:rPr>
        <w:t>TotalWorkingYears</w:t>
      </w:r>
      <w:r>
        <w:rPr>
          <w:rFonts w:ascii="Times New Roman" w:hAnsi="Times New Roman"/>
          <w:rtl w:val="0"/>
          <w:lang w:val="en-US"/>
        </w:rPr>
        <w:t xml:space="preserve"> compared to retained personnel. Furthermore, the Sales department demonstrated a disproportionately high attrition rate compared to Research &amp; Development.</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line="240" w:lineRule="auto"/>
        <w:ind w:left="0" w:right="0" w:firstLine="0"/>
        <w:jc w:val="left"/>
        <w:rPr>
          <w:rFonts w:ascii="Times New Roman" w:cs="Times New Roman" w:hAnsi="Times New Roman" w:eastAsia="Times New Roman"/>
          <w:rtl w:val="0"/>
        </w:rPr>
      </w:pPr>
      <w:r>
        <w:rPr>
          <w:rFonts w:ascii="Times New Roman" w:hAnsi="Times New Roman"/>
          <w:b w:val="1"/>
          <w:bCs w:val="1"/>
          <w:rtl w:val="0"/>
          <w:lang w:val="it-IT"/>
        </w:rPr>
        <w:t>Figure 1:</w:t>
      </w:r>
      <w:r>
        <w:rPr>
          <w:rFonts w:ascii="Times New Roman" w:hAnsi="Times New Roman"/>
          <w:rtl w:val="0"/>
          <w:lang w:val="en-US"/>
        </w:rPr>
        <w:t xml:space="preserve"> Preprocessing and EDA visualizations identifying severe class imbalances and correlating compensation metrics against attrition status.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cs="Times New Roman" w:hAnsi="Times New Roman" w:eastAsia="Times New Roman"/>
          <w:rtl w:val="0"/>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page">
              <wp:posOffset>355600</wp:posOffset>
            </wp:positionV>
            <wp:extent cx="6120058" cy="4859824"/>
            <wp:effectExtent l="0" t="0" r="0" b="0"/>
            <wp:wrapThrough wrapText="bothSides" distL="152400" distR="152400">
              <wp:wrapPolygon edited="1">
                <wp:start x="0" y="0"/>
                <wp:lineTo x="21600" y="0"/>
                <wp:lineTo x="21600" y="21623"/>
                <wp:lineTo x="0" y="21623"/>
                <wp:lineTo x="0" y="0"/>
              </wp:wrapPolygon>
            </wp:wrapThrough>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6120058" cy="4859824"/>
                    </a:xfrm>
                    <a:prstGeom prst="rect">
                      <a:avLst/>
                    </a:prstGeom>
                    <a:ln w="12700" cap="flat">
                      <a:noFill/>
                      <a:miter lim="400000"/>
                    </a:ln>
                    <a:effectLst/>
                  </pic:spPr>
                </pic:pic>
              </a:graphicData>
            </a:graphic>
          </wp:anchor>
        </w:drawing>
      </w:r>
    </w:p>
    <w:p>
      <w:pPr>
        <w:pStyle w:val="Default"/>
        <w:numPr>
          <w:ilvl w:val="0"/>
          <w:numId w:val="4"/>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Multivariate Analysis (The Loyalty Penalty):</w:t>
      </w:r>
      <w:r>
        <w:rPr>
          <w:rFonts w:ascii="Times New Roman" w:hAnsi="Times New Roman"/>
          <w:rtl w:val="0"/>
          <w:lang w:val="en-US"/>
        </w:rPr>
        <w:t xml:space="preserve"> A numerical correlation heatmap was generated to track feature interactions. It revealed a strong positive correlation (0.77) between </w:t>
      </w:r>
      <w:r>
        <w:rPr>
          <w:rFonts w:ascii="Times New Roman" w:hAnsi="Times New Roman"/>
          <w:sz w:val="26"/>
          <w:szCs w:val="26"/>
          <w:rtl w:val="0"/>
          <w:lang w:val="en-US"/>
        </w:rPr>
        <w:t>MonthlyIncome</w:t>
      </w:r>
      <w:r>
        <w:rPr>
          <w:rFonts w:ascii="Times New Roman" w:hAnsi="Times New Roman"/>
          <w:rtl w:val="0"/>
          <w:lang w:val="en-US"/>
        </w:rPr>
        <w:t xml:space="preserve"> and </w:t>
      </w:r>
      <w:r>
        <w:rPr>
          <w:rFonts w:ascii="Times New Roman" w:hAnsi="Times New Roman"/>
          <w:sz w:val="26"/>
          <w:szCs w:val="26"/>
          <w:rtl w:val="0"/>
          <w:lang w:val="en-US"/>
        </w:rPr>
        <w:t>TotalWorkingYears</w:t>
      </w:r>
      <w:r>
        <w:rPr>
          <w:rFonts w:ascii="Times New Roman" w:hAnsi="Times New Roman"/>
          <w:rtl w:val="0"/>
          <w:lang w:val="en-US"/>
        </w:rPr>
        <w:t xml:space="preserve"> (overall industry experience), but a much weaker correlation (0.51) between </w:t>
      </w:r>
      <w:r>
        <w:rPr>
          <w:rFonts w:ascii="Times New Roman" w:hAnsi="Times New Roman"/>
          <w:sz w:val="26"/>
          <w:szCs w:val="26"/>
          <w:rtl w:val="0"/>
          <w:lang w:val="en-US"/>
        </w:rPr>
        <w:t>MonthlyIncome</w:t>
      </w:r>
      <w:r>
        <w:rPr>
          <w:rFonts w:ascii="Times New Roman" w:hAnsi="Times New Roman"/>
          <w:rtl w:val="0"/>
          <w:lang w:val="en-US"/>
        </w:rPr>
        <w:t xml:space="preserve"> and </w:t>
      </w:r>
      <w:r>
        <w:rPr>
          <w:rFonts w:ascii="Times New Roman" w:hAnsi="Times New Roman"/>
          <w:sz w:val="26"/>
          <w:szCs w:val="26"/>
          <w:rtl w:val="0"/>
          <w:lang w:val="en-US"/>
        </w:rPr>
        <w:t>YearsAtCompany</w:t>
      </w:r>
      <w:r>
        <w:rPr>
          <w:rFonts w:ascii="Times New Roman" w:hAnsi="Times New Roman"/>
          <w:rtl w:val="0"/>
          <w:lang w:val="en-US"/>
        </w:rPr>
        <w:t xml:space="preserve"> (internal tenure). This discrepancy identified a potential "loyalty penalty," suggesting that internal wage growth scales slower than external market rates, inadvertently incentivizing highly experienced employees to leave for competitive compensation.</w:t>
      </w:r>
    </w:p>
    <w:p>
      <w:pPr>
        <w:pStyle w:val="Heading"/>
        <w:rPr>
          <w:rFonts w:ascii="Times New Roman" w:cs="Times New Roman" w:hAnsi="Times New Roman" w:eastAsia="Times New Roman"/>
        </w:rPr>
      </w:pPr>
    </w:p>
    <w:p>
      <w:pPr>
        <w:pStyle w:val="Heading"/>
        <w:rPr>
          <w:rFonts w:ascii="Times New Roman" w:cs="Times New Roman" w:hAnsi="Times New Roman" w:eastAsia="Times New Roman"/>
          <w:b w:val="0"/>
          <w:bCs w:val="0"/>
        </w:rPr>
      </w:pPr>
      <w:r>
        <w:rPr>
          <w:rFonts w:ascii="Times New Roman" w:hAnsi="Times New Roman"/>
          <w:rtl w:val="0"/>
          <w:lang w:val="en-US"/>
        </w:rPr>
        <w:t>4. Unsupervised Learning: Workforce Segmentation</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To identify natural groupings within the employee base without relying on labeled targets, K-Means clustering was applied. Continuous variables (Age, MonthlyIncome, TotalWorkingYears) were standardized using StandardScaler to prevent larger magnitude features from dominating Euclidean distance calculations. The Elbow Method determined the optimal number of clusters at $k=3$. The algorithm successfully segmented the workforce into three distinct personas:</w:t>
      </w:r>
    </w:p>
    <w:p>
      <w:pPr>
        <w:pStyle w:val="Default"/>
        <w:numPr>
          <w:ilvl w:val="0"/>
          <w:numId w:val="5"/>
        </w:numPr>
        <w:bidi w:val="0"/>
        <w:spacing w:before="0" w:after="240" w:line="240" w:lineRule="auto"/>
        <w:ind w:right="0"/>
        <w:jc w:val="left"/>
        <w:rPr>
          <w:rFonts w:ascii="Times New Roman" w:hAnsi="Times New Roman"/>
          <w:rtl w:val="0"/>
          <w:lang w:val="de-DE"/>
        </w:rPr>
      </w:pPr>
      <w:r>
        <w:rPr>
          <w:rFonts w:ascii="Times New Roman" w:hAnsi="Times New Roman"/>
          <w:b w:val="1"/>
          <w:bCs w:val="1"/>
          <w:rtl w:val="0"/>
          <w:lang w:val="de-DE"/>
        </w:rPr>
        <w:t>Cluster A (Junior Core):</w:t>
      </w:r>
      <w:r>
        <w:rPr>
          <w:rFonts w:ascii="Times New Roman" w:hAnsi="Times New Roman"/>
          <w:rtl w:val="0"/>
          <w:lang w:val="en-US"/>
        </w:rPr>
        <w:t xml:space="preserve"> Early-career employees with low tenure and entry-level compensation.</w:t>
      </w:r>
    </w:p>
    <w:p>
      <w:pPr>
        <w:pStyle w:val="Default"/>
        <w:numPr>
          <w:ilvl w:val="0"/>
          <w:numId w:val="5"/>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Cluster B (Mid-Level Professionals):</w:t>
      </w:r>
      <w:r>
        <w:rPr>
          <w:rFonts w:ascii="Times New Roman" w:hAnsi="Times New Roman"/>
          <w:rtl w:val="0"/>
          <w:lang w:val="en-US"/>
        </w:rPr>
        <w:t xml:space="preserve"> The operational backbone with moderate experience and mid-tier salaries.</w:t>
      </w:r>
    </w:p>
    <w:p>
      <w:pPr>
        <w:pStyle w:val="Default"/>
        <w:numPr>
          <w:ilvl w:val="0"/>
          <w:numId w:val="5"/>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Cluster C (Senior Leadership):</w:t>
      </w:r>
      <w:r>
        <w:rPr>
          <w:rFonts w:ascii="Times New Roman" w:hAnsi="Times New Roman"/>
          <w:rtl w:val="0"/>
          <w:lang w:val="en-US"/>
        </w:rPr>
        <w:t xml:space="preserve"> Highly compensated executives with extensive industry experience.</w:t>
      </w:r>
    </w:p>
    <w:p>
      <w:pPr>
        <w:pStyle w:val="Heading"/>
        <w:rPr>
          <w:rFonts w:ascii="Times New Roman" w:cs="Times New Roman" w:hAnsi="Times New Roman" w:eastAsia="Times New Roman"/>
        </w:rPr>
      </w:pPr>
      <w:r>
        <w:rPr>
          <w:rFonts w:ascii="Times New Roman" w:hAnsi="Times New Roman"/>
          <w:rtl w:val="0"/>
          <w:lang w:val="en-US"/>
        </w:rPr>
        <w:t>5. Supervised Learning: Attrition Prediction Pipeline</w:t>
      </w:r>
    </w:p>
    <w:p>
      <w:pPr>
        <w:pStyle w:val="Body"/>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201320</wp:posOffset>
            </wp:positionV>
            <wp:extent cx="6120057" cy="4157853"/>
            <wp:effectExtent l="0" t="0" r="0" b="0"/>
            <wp:wrapThrough wrapText="bothSides" distL="152400" distR="152400">
              <wp:wrapPolygon edited="1">
                <wp:start x="0" y="0"/>
                <wp:lineTo x="21621" y="0"/>
                <wp:lineTo x="21621" y="21610"/>
                <wp:lineTo x="0" y="21610"/>
                <wp:lineTo x="0" y="0"/>
              </wp:wrapPolygon>
            </wp:wrapThrough>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6">
                      <a:extLst/>
                    </a:blip>
                    <a:stretch>
                      <a:fillRect/>
                    </a:stretch>
                  </pic:blipFill>
                  <pic:spPr>
                    <a:xfrm>
                      <a:off x="0" y="0"/>
                      <a:ext cx="6120057" cy="4157853"/>
                    </a:xfrm>
                    <a:prstGeom prst="rect">
                      <a:avLst/>
                    </a:prstGeom>
                    <a:ln w="12700" cap="flat">
                      <a:noFill/>
                      <a:miter lim="400000"/>
                    </a:ln>
                    <a:effectLst/>
                  </pic:spPr>
                </pic:pic>
              </a:graphicData>
            </a:graphic>
          </wp:anchor>
        </w:drawing>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To predict binary attrition, categorical features were transformed via One-Hot Encoding (</w:t>
      </w:r>
      <w:r>
        <w:rPr>
          <w:rFonts w:ascii="Times New Roman" w:hAnsi="Times New Roman"/>
          <w:sz w:val="26"/>
          <w:szCs w:val="26"/>
          <w:rtl w:val="0"/>
          <w:lang w:val="en-US"/>
        </w:rPr>
        <w:t>drop_first=True</w:t>
      </w:r>
      <w:r>
        <w:rPr>
          <w:rFonts w:ascii="Times New Roman" w:hAnsi="Times New Roman"/>
          <w:rtl w:val="0"/>
          <w:lang w:val="en-US"/>
        </w:rPr>
        <w:t xml:space="preserve">), expanding the dataset to 45 dimensions. The data was split 80/20 using </w:t>
      </w:r>
      <w:r>
        <w:rPr>
          <w:rFonts w:ascii="Times New Roman" w:hAnsi="Times New Roman"/>
          <w:sz w:val="26"/>
          <w:szCs w:val="26"/>
          <w:rtl w:val="0"/>
          <w:lang w:val="en-US"/>
        </w:rPr>
        <w:t>stratify=y</w:t>
      </w:r>
      <w:r>
        <w:rPr>
          <w:rFonts w:ascii="Times New Roman" w:hAnsi="Times New Roman"/>
          <w:rtl w:val="0"/>
          <w:lang w:val="en-US"/>
        </w:rPr>
        <w:t xml:space="preserve"> to preserve the 84/16 class imbalance. Two distinct algorithms were benchmarked:</w:t>
      </w:r>
    </w:p>
    <w:p>
      <w:pPr>
        <w:pStyle w:val="Default"/>
        <w:numPr>
          <w:ilvl w:val="0"/>
          <w:numId w:val="4"/>
        </w:numPr>
        <w:bidi w:val="0"/>
        <w:spacing w:before="0" w:after="240" w:line="240" w:lineRule="auto"/>
        <w:ind w:right="0"/>
        <w:jc w:val="left"/>
        <w:rPr>
          <w:rFonts w:ascii="Times New Roman" w:hAnsi="Times New Roman"/>
          <w:rtl w:val="0"/>
          <w:lang w:val="fr-FR"/>
        </w:rPr>
      </w:pPr>
      <w:r>
        <w:rPr>
          <w:rFonts w:ascii="Times New Roman" w:hAnsi="Times New Roman"/>
          <w:b w:val="1"/>
          <w:bCs w:val="1"/>
          <w:rtl w:val="0"/>
          <w:lang w:val="fr-FR"/>
        </w:rPr>
        <w:t>Logistic Regression (Baseline):</w:t>
      </w:r>
      <w:r>
        <w:rPr>
          <w:rFonts w:ascii="Times New Roman" w:hAnsi="Times New Roman"/>
          <w:rtl w:val="0"/>
          <w:lang w:val="en-US"/>
        </w:rPr>
        <w:t xml:space="preserve"> A linear parametric model utilizing L2 regularization (</w:t>
      </w:r>
      <w:r>
        <w:rPr>
          <w:rFonts w:ascii="Times New Roman" w:hAnsi="Times New Roman"/>
          <w:sz w:val="26"/>
          <w:szCs w:val="26"/>
          <w:rtl w:val="0"/>
          <w:lang w:val="en-US"/>
        </w:rPr>
        <w:t>solver='lbfgs'</w:t>
      </w:r>
      <w:r>
        <w:rPr>
          <w:rFonts w:ascii="Times New Roman" w:hAnsi="Times New Roman"/>
          <w:rtl w:val="0"/>
        </w:rPr>
        <w:t>).</w:t>
      </w:r>
    </w:p>
    <w:p>
      <w:pPr>
        <w:pStyle w:val="Default"/>
        <w:numPr>
          <w:ilvl w:val="0"/>
          <w:numId w:val="4"/>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 xml:space="preserve">Artificial Neural Network </w:t>
      </w:r>
      <w:r>
        <w:drawing xmlns:a="http://schemas.openxmlformats.org/drawingml/2006/main">
          <wp:anchor distT="152400" distB="152400" distL="152400" distR="152400" simplePos="0" relativeHeight="251661312" behindDoc="0" locked="0" layoutInCell="1" allowOverlap="1">
            <wp:simplePos x="0" y="0"/>
            <wp:positionH relativeFrom="page">
              <wp:posOffset>800771</wp:posOffset>
            </wp:positionH>
            <wp:positionV relativeFrom="page">
              <wp:posOffset>333920</wp:posOffset>
            </wp:positionV>
            <wp:extent cx="6120057" cy="4565396"/>
            <wp:effectExtent l="0" t="0" r="0" b="0"/>
            <wp:wrapThrough wrapText="bothSides" distL="152400" distR="152400">
              <wp:wrapPolygon edited="1">
                <wp:start x="0" y="0"/>
                <wp:lineTo x="21621" y="0"/>
                <wp:lineTo x="21621" y="21604"/>
                <wp:lineTo x="0" y="21604"/>
                <wp:lineTo x="0" y="0"/>
              </wp:wrapPolygon>
            </wp:wrapThrough>
            <wp:docPr id="1073741828" name="officeArt object" descr="Image"/>
            <wp:cNvGraphicFramePr/>
            <a:graphic xmlns:a="http://schemas.openxmlformats.org/drawingml/2006/main">
              <a:graphicData uri="http://schemas.openxmlformats.org/drawingml/2006/picture">
                <pic:pic xmlns:pic="http://schemas.openxmlformats.org/drawingml/2006/picture">
                  <pic:nvPicPr>
                    <pic:cNvPr id="1073741828" name="Image" descr="Image"/>
                    <pic:cNvPicPr>
                      <a:picLocks noChangeAspect="1"/>
                    </pic:cNvPicPr>
                  </pic:nvPicPr>
                  <pic:blipFill>
                    <a:blip r:embed="rId7">
                      <a:extLst/>
                    </a:blip>
                    <a:stretch>
                      <a:fillRect/>
                    </a:stretch>
                  </pic:blipFill>
                  <pic:spPr>
                    <a:xfrm>
                      <a:off x="0" y="0"/>
                      <a:ext cx="6120057" cy="4565396"/>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2336" behindDoc="0" locked="0" layoutInCell="1" allowOverlap="1">
            <wp:simplePos x="0" y="0"/>
            <wp:positionH relativeFrom="page">
              <wp:posOffset>800771</wp:posOffset>
            </wp:positionH>
            <wp:positionV relativeFrom="page">
              <wp:posOffset>5000045</wp:posOffset>
            </wp:positionV>
            <wp:extent cx="6120058" cy="5346518"/>
            <wp:effectExtent l="0" t="0" r="0" b="0"/>
            <wp:wrapThrough wrapText="bothSides" distL="152400" distR="152400">
              <wp:wrapPolygon edited="1">
                <wp:start x="0" y="0"/>
                <wp:lineTo x="21621" y="0"/>
                <wp:lineTo x="21621" y="21610"/>
                <wp:lineTo x="0" y="21610"/>
                <wp:lineTo x="0" y="0"/>
              </wp:wrapPolygon>
            </wp:wrapThrough>
            <wp:docPr id="1073741829" name="officeArt object" descr="Image"/>
            <wp:cNvGraphicFramePr/>
            <a:graphic xmlns:a="http://schemas.openxmlformats.org/drawingml/2006/main">
              <a:graphicData uri="http://schemas.openxmlformats.org/drawingml/2006/picture">
                <pic:pic xmlns:pic="http://schemas.openxmlformats.org/drawingml/2006/picture">
                  <pic:nvPicPr>
                    <pic:cNvPr id="1073741829" name="Image" descr="Image"/>
                    <pic:cNvPicPr>
                      <a:picLocks noChangeAspect="1"/>
                    </pic:cNvPicPr>
                  </pic:nvPicPr>
                  <pic:blipFill>
                    <a:blip r:embed="rId8">
                      <a:extLst/>
                    </a:blip>
                    <a:stretch>
                      <a:fillRect/>
                    </a:stretch>
                  </pic:blipFill>
                  <pic:spPr>
                    <a:xfrm>
                      <a:off x="0" y="0"/>
                      <a:ext cx="6120058" cy="5346518"/>
                    </a:xfrm>
                    <a:prstGeom prst="rect">
                      <a:avLst/>
                    </a:prstGeom>
                    <a:ln w="12700" cap="flat">
                      <a:noFill/>
                      <a:miter lim="400000"/>
                    </a:ln>
                    <a:effectLst/>
                  </pic:spPr>
                </pic:pic>
              </a:graphicData>
            </a:graphic>
          </wp:anchor>
        </w:drawing>
      </w:r>
      <w:r>
        <w:rPr>
          <w:rFonts w:ascii="Times New Roman" w:hAnsi="Times New Roman"/>
          <w:b w:val="1"/>
          <w:bCs w:val="1"/>
          <w:rtl w:val="0"/>
          <w:lang w:val="en-US"/>
        </w:rPr>
        <w:t>(Deep Learning):</w:t>
      </w:r>
      <w:r>
        <w:rPr>
          <w:rFonts w:ascii="Times New Roman" w:hAnsi="Times New Roman"/>
          <w:rtl w:val="0"/>
          <w:lang w:val="en-US"/>
        </w:rPr>
        <w:t xml:space="preserve"> A sequential Multi-Layer Perceptron (TensorFlow/Keras) featuring two hidden layers (64 and 32 neurons) with ReLU activations and DropOut layers (0.3 and 0.2) to prevent memorization. It was compiled with the Adam optimizer and an EarlyStopping callback to monitor validation loss.</w:t>
      </w: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Both models utilized algorithmic class weighting (</w:t>
      </w:r>
      <w:r>
        <w:rPr>
          <w:rFonts w:ascii="Times New Roman" w:hAnsi="Times New Roman"/>
          <w:sz w:val="26"/>
          <w:szCs w:val="26"/>
          <w:rtl w:val="0"/>
          <w:lang w:val="en-US"/>
        </w:rPr>
        <w:t>class_weight='balanced'</w:t>
      </w:r>
      <w:r>
        <w:rPr>
          <w:rFonts w:ascii="Times New Roman" w:hAnsi="Times New Roman"/>
          <w:rtl w:val="0"/>
          <w:lang w:val="en-US"/>
        </w:rPr>
        <w:t>) to heavily penalize false negatives on the minority class, prioritizing the identification of actual flight-risk employees over baseline accuracy</w:t>
      </w:r>
    </w:p>
    <w:p>
      <w:pPr>
        <w:pStyle w:val="Heading"/>
        <w:rPr>
          <w:rFonts w:ascii="Times New Roman" w:cs="Times New Roman" w:hAnsi="Times New Roman" w:eastAsia="Times New Roman"/>
        </w:rPr>
      </w:pPr>
      <w:r>
        <w:rPr>
          <w:rFonts w:ascii="Times New Roman" w:hAnsi="Times New Roman"/>
          <w:rtl w:val="0"/>
          <w:lang w:val="en-US"/>
        </w:rPr>
        <w:t>6. Critical Evaluation &amp; Challenges</w:t>
      </w:r>
    </w:p>
    <w:p>
      <w:pPr>
        <w:pStyle w:val="Body"/>
        <w:rPr>
          <w:rFonts w:ascii="Times New Roman" w:cs="Times New Roman" w:hAnsi="Times New Roman" w:eastAsia="Times New Roman"/>
        </w:rPr>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Deploying machine learning on a constrained tabular dataset of 1,480 rows presented significant overfitting risks, particularly for the neural network. While Early Stopping and DropOut regularization successfully stabilized the ANN's training trajectory, the model operates as a "black box," lacking the interpretability required by HR stakeholders. Consequently, the Logistic Regression model emerged as the superior operational choice. It achieved comparable ROC-AUC scores while providing explicit feature coefficients, allowing HR leadership to understand exactly why an employee was flagged as a flight risk.</w:t>
      </w:r>
    </w:p>
    <w:p>
      <w:pPr>
        <w:pStyle w:val="Heading"/>
        <w:rPr>
          <w:rFonts w:ascii="Times New Roman" w:cs="Times New Roman" w:hAnsi="Times New Roman" w:eastAsia="Times New Roman"/>
        </w:rPr>
      </w:pPr>
      <w:r>
        <w:rPr>
          <w:rFonts w:ascii="Times New Roman" w:hAnsi="Times New Roman"/>
          <w:rtl w:val="0"/>
          <w:lang w:val="en-US"/>
        </w:rPr>
        <w:t>7. Strategic Recommendations &amp; Future Scope</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Default"/>
        <w:bidi w:val="0"/>
        <w:spacing w:before="0" w:after="240" w:line="240" w:lineRule="auto"/>
        <w:ind w:left="0" w:right="0" w:firstLine="0"/>
        <w:jc w:val="left"/>
        <w:rPr>
          <w:rtl w:val="0"/>
        </w:rPr>
      </w:pPr>
      <w:r>
        <w:rPr>
          <w:rFonts w:ascii="Times New Roman" w:hAnsi="Times New Roman"/>
          <w:rtl w:val="0"/>
          <w:lang w:val="en-US"/>
        </w:rPr>
        <w:t>The end-to-end pipeline confirmed that compensation disparities and role stagnation are primary drivers of turnover. HR leadership should conduct an immediate compensation audit to address the "loyalty penalty" identified during the EDA phase, ensuring internal wage growth matches external market rates for highly tenured employees. Future iterations of this data science pipeline should ingest time-series metrics</w:t>
      </w:r>
      <w:r>
        <w:rPr>
          <w:rFonts w:ascii="Times New Roman" w:hAnsi="Times New Roman" w:hint="default"/>
          <w:rtl w:val="0"/>
          <w:lang w:val="en-US"/>
        </w:rPr>
        <w:t>—</w:t>
      </w:r>
      <w:r>
        <w:rPr>
          <w:rFonts w:ascii="Times New Roman" w:hAnsi="Times New Roman"/>
          <w:rtl w:val="0"/>
          <w:lang w:val="en-US"/>
        </w:rPr>
        <w:t>such as real-time PTO utilization or quarterly pulse survey sentiments</w:t>
      </w:r>
      <w:r>
        <w:rPr>
          <w:rFonts w:ascii="Times New Roman" w:hAnsi="Times New Roman" w:hint="default"/>
          <w:rtl w:val="0"/>
          <w:lang w:val="en-US"/>
        </w:rPr>
        <w:t>—</w:t>
      </w:r>
      <w:r>
        <w:rPr>
          <w:rFonts w:ascii="Times New Roman" w:hAnsi="Times New Roman"/>
          <w:rtl w:val="0"/>
          <w:lang w:val="en-US"/>
        </w:rPr>
        <w:t>to transition the models from static snapshots to dynamic, real-time prediction engines.</w:t>
      </w:r>
    </w:p>
    <w:sectPr>
      <w:headerReference w:type="default" r:id="rId9"/>
      <w:footerReference w:type="default" r:id="rId10"/>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