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23NU1A4429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Automated Network Request Management in ServiceNow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PS-1: The End-User Persona (The Requester)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Profile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an enterprise employee (e.g., Nickolas Khosravi) who requires the provisioning of a new physical network connection or the immediate relocation of existing corporate hardware assets.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Objective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goal is to seamlessly submit hardware profiles, inventory requirements, and physical location coordinates to the IT Infrastructure team to minimize workspace setup downtime.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Friction Points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Ambiguous Data Ingestion: </w:t>
      </w:r>
      <w:r w:rsidDel="00000000" w:rsidR="00000000" w:rsidRPr="00000000">
        <w:rPr>
          <w:sz w:val="24"/>
          <w:szCs w:val="24"/>
          <w:rtl w:val="0"/>
        </w:rPr>
        <w:t xml:space="preserve">The legacy service catalog interface is confusing and lacks rigid front-end validation rules, resulting in incomplete ticket submissions.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Communication Overhead: </w:t>
      </w:r>
      <w:r w:rsidDel="00000000" w:rsidR="00000000" w:rsidRPr="00000000">
        <w:rPr>
          <w:sz w:val="24"/>
          <w:szCs w:val="24"/>
          <w:rtl w:val="0"/>
        </w:rPr>
        <w:t xml:space="preserve">The current process relies heavily on manual forms and offline email chains to clarify missing physical specifications.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Static Interface Layout: </w:t>
      </w:r>
      <w:r w:rsidDel="00000000" w:rsidR="00000000" w:rsidRPr="00000000">
        <w:rPr>
          <w:sz w:val="24"/>
          <w:szCs w:val="24"/>
          <w:rtl w:val="0"/>
        </w:rPr>
        <w:t xml:space="preserve">The form fails to auto-populate my profile identity data or employ conditional client-side UI policies to hide complex relocation parameters unless contextually necessary. 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Operational &amp; Emotional Impact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structural gap creates severe administrative friction, leaving me feeling frustrated, digitally isolated, and operationally delayed when trying to establish my workspace connectivity.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6"/>
          <w:szCs w:val="26"/>
        </w:rPr>
        <w:drawing>
          <wp:inline distB="114300" distT="114300" distL="114300" distR="114300">
            <wp:extent cx="5731200" cy="242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PS-2: The Backend Administrator Persona (The Fulfiller)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Profile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an IT Network Infrastructure Administrator responsible for validating hardware allocations, coordinating technical deployments, and managing regional resource sign-offs.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Objective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My goal is to maintain a zero-error, persistent configuration management database (CMDB) ledger tracking all network infrastructure assets across the enterprise ecosystem.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Friction Points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Metadata Deficiency:</w:t>
      </w:r>
      <w:r w:rsidDel="00000000" w:rsidR="00000000" w:rsidRPr="00000000">
        <w:rPr>
          <w:sz w:val="24"/>
          <w:szCs w:val="24"/>
          <w:rtl w:val="0"/>
        </w:rPr>
        <w:t xml:space="preserve"> Inbound provisioning forms frequently arrive missing critical parameters, forcing me to manually verify user profiles and clear up data inconsistencies.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Manual Bottlenecks:</w:t>
      </w:r>
      <w:r w:rsidDel="00000000" w:rsidR="00000000" w:rsidRPr="00000000">
        <w:rPr>
          <w:sz w:val="24"/>
          <w:szCs w:val="24"/>
          <w:rtl w:val="0"/>
        </w:rPr>
        <w:t xml:space="preserve"> I must manually pursue managers for sign-offs and transcribe hardware configurations line-by-line into disconnected spreadsheet tracking files.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Lack of Orchestration:</w:t>
      </w:r>
      <w:r w:rsidDel="00000000" w:rsidR="00000000" w:rsidRPr="00000000">
        <w:rPr>
          <w:sz w:val="24"/>
          <w:szCs w:val="24"/>
          <w:rtl w:val="0"/>
        </w:rPr>
        <w:t xml:space="preserve"> The current architecture completely lacks strict, entry-gate input validation and an automated server-side engine (such as Flow Designer) to handle multi-stage approval routing and direct database commits.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Operational &amp; Emotional Impact </w:t>
      </w:r>
      <w:r w:rsidDel="00000000" w:rsidR="00000000" w:rsidRPr="00000000">
        <w:rPr>
          <w:sz w:val="24"/>
          <w:szCs w:val="24"/>
          <w:rtl w:val="0"/>
        </w:rPr>
        <w:t xml:space="preserve">This system deficiency introduces significant technical debt, leaving me feeling overwhelmed by repetitive administrative workflows and anxious about data corruption, clerical errors, or broken asset dependencies. </w:t>
      </w:r>
    </w:p>
    <w:p w:rsidR="00000000" w:rsidDel="00000000" w:rsidP="00000000" w:rsidRDefault="00000000" w:rsidRPr="00000000" w14:paraId="0000002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6"/>
          <w:szCs w:val="26"/>
        </w:rPr>
        <w:drawing>
          <wp:inline distB="114300" distT="114300" distL="114300" distR="114300">
            <wp:extent cx="5731200" cy="95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