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tabs>
          <w:tab w:val="left" w:leader="none" w:pos="23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is designed as an enterprise-grade, cloud-native application. It bridges the gap between front-end end-user catalog submissions and direct backend hardware asset table persistence through an automated low-code workflow orchestration model.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Structural Breakdown: 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Frontend Tier (Local Client Interaction): </w:t>
      </w:r>
      <w:r w:rsidDel="00000000" w:rsidR="00000000" w:rsidRPr="00000000">
        <w:rPr>
          <w:rFonts w:ascii="Arial" w:cs="Arial" w:eastAsia="Arial" w:hAnsi="Arial"/>
          <w:rtl w:val="0"/>
        </w:rPr>
        <w:t xml:space="preserve">Users interact with a clean Service Portal built using modern web standards. Client-side processing handles UI dynamic logic, instant context retrieval, and validation filters. </w:t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Orchestration Engine (Cloud Logic): </w:t>
      </w:r>
      <w:r w:rsidDel="00000000" w:rsidR="00000000" w:rsidRPr="00000000">
        <w:rPr>
          <w:rFonts w:ascii="Arial" w:cs="Arial" w:eastAsia="Arial" w:hAnsi="Arial"/>
          <w:rtl w:val="0"/>
        </w:rPr>
        <w:t xml:space="preserve">Triggers server-side logic pathways via ServiceNow Flow Designer and Workflow Studio. This engine manages operational gates, rules processing, and line-manager approval loops.</w:t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• Database Ledger Store (Persistence Layer): </w:t>
      </w:r>
      <w:r w:rsidDel="00000000" w:rsidR="00000000" w:rsidRPr="00000000">
        <w:rPr>
          <w:rFonts w:ascii="Arial" w:cs="Arial" w:eastAsia="Arial" w:hAnsi="Arial"/>
          <w:rtl w:val="0"/>
        </w:rPr>
        <w:t xml:space="preserve">Securely seals validated data inputs directly into custom enterprise database schemas without manual text copy-pasting.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Customer-facing Web portal interface where users search, select request options, and view live stage progress badges.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Service Portal, HTML5, CSS3, JavaScript (ES6), Bootstrap Framework.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Client-side validation scripts, session properties query rules, and dynamic field visibility behaviors.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Client Scripts, Catalog UI Policies, GlideUser (g_user) API.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Server-side background execution workflows that intercept user checkout paths and check rule conditions. 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Flow Designer, Workflow Studio Actions, Business Rules.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Cross-table routing calculations and relational approval mapping generation handlers. 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GlideRecord API, JavaScript Engine.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system data dictionary structures holding system transactional variables and workflow runtime metrics. 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Database Layer (built on MySQL/MariaDB foundation core).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Permanent, structural production relational table hosting the master infrastructure asset configurations.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System Schema Table (u_network_database).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storage for transactional audit history logs and physical office floor plan document attachments. 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Managed Cloud Attachment Storage (sys_attachment).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Identity contextual information query engine mapping incoming user sessions to corporate organizational directories. 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internal GlideSystem session context lookup API.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Automated outbound notifications providing line managers with one-click decision-making functions. 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Mail Server Engine (SMTP/IMAP Notification Engine).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Optional optimization rule set used to automatically assign fulfiller tasks based on agent workload queues. 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Predictive Intelligence Engine (Optional Similarity/Clustering Framework).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High-availability cloud host layer ensuring multi-tenant isolation, data separation, and secure runtime boundaries. 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Enterprise Cloud Platform-as-a-Service (PaaS) Instance. </w:t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of universally supported front-end grid layouts to ensure responsive UI display across various client browser viewports. 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Bootstrap CSS Framework, AngularJS (ServiceNow Core UI framework stack wrapper).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encryption definitions safeguarding active sessions, access control parameters, role profiles, and platform threat protection rules. 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Advanced Encryption Standard (AES-256), Multi-Factor Authentication (MFA), Access Control Lists (ACLs), ServiceNow role-based access management.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Logical layer breakdown strategy that isolates user presentation elements from backend ledger transactions to manage fluctuating query traffic. 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Multi-tier Cloud Platform-as-a Service (PaaS) framework, microservices-inspired multi node cloud application nodes.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Resilient architectural planning guaranteeing zero service interruptions via continuous redundancy paths and fallback cluster instances. 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Advanced High Availability (AHA) Architecture, geo-redundant automated data center replication.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Computational tuning to enforce minimal form load delays, sub-second execution speeds, and background workflow balancing processing. 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Client-Side Cache Optimization, Indexed Table fields on u_network_database, Asynchronous Background Workers. 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