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Leave Policy</w:t>
      </w:r>
    </w:p>
    <w:p>
      <w:r>
        <w:t>Casual Leave:12, Sick Leave:10, Earned Leave:18, Optional Holiday:2</w:t>
      </w:r>
    </w:p>
    <w:p>
      <w:r>
        <w:t>Earned leave carry forward up to 30 days.</w:t>
      </w:r>
    </w:p>
    <w:p>
      <w:r>
        <w:t>Maternity leave 26 weeks. Paternity leave 10 days.</w:t>
      </w:r>
    </w:p>
    <w:p>
      <w:r>
        <w:t>Leave approval through HRMS portal.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