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5"/>
        <w:tblW w:w="10212" w:type="dxa"/>
        <w:tblLook w:val="04A0" w:firstRow="1" w:lastRow="0" w:firstColumn="1" w:lastColumn="0" w:noHBand="0" w:noVBand="1"/>
      </w:tblPr>
      <w:tblGrid>
        <w:gridCol w:w="1534"/>
        <w:gridCol w:w="2220"/>
        <w:gridCol w:w="2220"/>
        <w:gridCol w:w="2119"/>
        <w:gridCol w:w="2119"/>
      </w:tblGrid>
      <w:tr w:rsidR="00EB1020" w:rsidRPr="00420798" w:rsidTr="00564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vMerge w:val="restart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BB</w:t>
            </w:r>
          </w:p>
        </w:tc>
        <w:tc>
          <w:tcPr>
            <w:tcW w:w="4440" w:type="dxa"/>
            <w:gridSpan w:val="2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CE</w:t>
            </w:r>
            <w:r w:rsidRPr="00420798">
              <w:rPr>
                <w:caps/>
                <w:color w:val="000000" w:themeColor="text1"/>
                <w:lang w:val="en-IN"/>
              </w:rPr>
              <w:t xml:space="preserve"> = 0V</w:t>
            </w:r>
          </w:p>
        </w:tc>
        <w:tc>
          <w:tcPr>
            <w:tcW w:w="4238" w:type="dxa"/>
            <w:gridSpan w:val="2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CE</w:t>
            </w:r>
            <w:r w:rsidRPr="00420798">
              <w:rPr>
                <w:caps/>
                <w:color w:val="000000" w:themeColor="text1"/>
                <w:lang w:val="en-IN"/>
              </w:rPr>
              <w:t xml:space="preserve"> = 3V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vMerge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</w:p>
        </w:tc>
        <w:tc>
          <w:tcPr>
            <w:tcW w:w="2220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BE</w:t>
            </w:r>
          </w:p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(in Volts)</w:t>
            </w:r>
          </w:p>
        </w:tc>
        <w:tc>
          <w:tcPr>
            <w:tcW w:w="2220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B</w:t>
            </w:r>
          </w:p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 xml:space="preserve">(in </w:t>
            </w:r>
            <w:r w:rsidRPr="00420798">
              <w:rPr>
                <w:b/>
                <w:caps/>
                <w:color w:val="000000" w:themeColor="text1"/>
              </w:rPr>
              <w:t>µA)</w:t>
            </w:r>
          </w:p>
        </w:tc>
        <w:tc>
          <w:tcPr>
            <w:tcW w:w="211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BE</w:t>
            </w:r>
          </w:p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(in Volts)</w:t>
            </w:r>
          </w:p>
        </w:tc>
        <w:tc>
          <w:tcPr>
            <w:tcW w:w="211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B</w:t>
            </w:r>
          </w:p>
          <w:p w:rsidR="00EB1020" w:rsidRPr="00420798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 xml:space="preserve">(in </w:t>
            </w:r>
            <w:r w:rsidRPr="00420798">
              <w:rPr>
                <w:b/>
                <w:caps/>
                <w:color w:val="000000" w:themeColor="text1"/>
              </w:rPr>
              <w:t>µA)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</w:t>
            </w:r>
          </w:p>
        </w:tc>
        <w:tc>
          <w:tcPr>
            <w:tcW w:w="2220" w:type="dxa"/>
            <w:tcBorders>
              <w:top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6E5D41">
              <w:rPr>
                <w:caps/>
                <w:color w:val="000000" w:themeColor="text1"/>
              </w:rPr>
              <w:t>0</w:t>
            </w:r>
          </w:p>
        </w:tc>
        <w:tc>
          <w:tcPr>
            <w:tcW w:w="2220" w:type="dxa"/>
            <w:tcBorders>
              <w:top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6E5D41">
              <w:rPr>
                <w:caps/>
                <w:color w:val="000000" w:themeColor="text1"/>
              </w:rPr>
              <w:t>0</w:t>
            </w:r>
          </w:p>
        </w:tc>
        <w:tc>
          <w:tcPr>
            <w:tcW w:w="2119" w:type="dxa"/>
            <w:tcBorders>
              <w:top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6E5D41">
              <w:rPr>
                <w:caps/>
                <w:color w:val="000000" w:themeColor="text1"/>
              </w:rPr>
              <w:t>0</w:t>
            </w:r>
          </w:p>
        </w:tc>
        <w:tc>
          <w:tcPr>
            <w:tcW w:w="2119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6E5D41">
              <w:rPr>
                <w:caps/>
                <w:color w:val="000000" w:themeColor="text1"/>
              </w:rPr>
              <w:t>0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0.1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6E5D41">
              <w:rPr>
                <w:caps/>
                <w:color w:val="000000" w:themeColor="text1"/>
              </w:rPr>
              <w:t>0.1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  <w:tc>
          <w:tcPr>
            <w:tcW w:w="2119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0.1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0.2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0.2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  <w:tc>
          <w:tcPr>
            <w:tcW w:w="2119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0.2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0.3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0.3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  <w:tc>
          <w:tcPr>
            <w:tcW w:w="2119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0.3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0.4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0.39995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  <w:tc>
          <w:tcPr>
            <w:tcW w:w="2119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0.4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0.5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0.49770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0.22965</w:t>
            </w:r>
          </w:p>
        </w:tc>
        <w:tc>
          <w:tcPr>
            <w:tcW w:w="2119" w:type="dxa"/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0.49998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0.6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0.56696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0.33038</w:t>
            </w:r>
          </w:p>
        </w:tc>
        <w:tc>
          <w:tcPr>
            <w:tcW w:w="2119" w:type="dxa"/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0.59886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0.011367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0.7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0.597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1.0298</w:t>
            </w:r>
          </w:p>
        </w:tc>
        <w:tc>
          <w:tcPr>
            <w:tcW w:w="2119" w:type="dxa"/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0.67683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0.23169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0.8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0.61316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1.8684</w:t>
            </w:r>
          </w:p>
        </w:tc>
        <w:tc>
          <w:tcPr>
            <w:tcW w:w="2119" w:type="dxa"/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0.71150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0.88505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0.9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0.62398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2.7602</w:t>
            </w:r>
          </w:p>
        </w:tc>
        <w:tc>
          <w:tcPr>
            <w:tcW w:w="2119" w:type="dxa"/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0.72859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1.7141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1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0.63211</w:t>
            </w:r>
          </w:p>
        </w:tc>
        <w:tc>
          <w:tcPr>
            <w:tcW w:w="2220" w:type="dxa"/>
            <w:hideMark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3.6789</w:t>
            </w:r>
          </w:p>
        </w:tc>
        <w:tc>
          <w:tcPr>
            <w:tcW w:w="2119" w:type="dxa"/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0.73942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  <w:hideMark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2.6058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1.5</w:t>
            </w:r>
          </w:p>
        </w:tc>
        <w:tc>
          <w:tcPr>
            <w:tcW w:w="2220" w:type="dxa"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0.65648</w:t>
            </w:r>
          </w:p>
        </w:tc>
        <w:tc>
          <w:tcPr>
            <w:tcW w:w="2220" w:type="dxa"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8.4352</w:t>
            </w:r>
          </w:p>
        </w:tc>
        <w:tc>
          <w:tcPr>
            <w:tcW w:w="2119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0.76620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7.3380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2</w:t>
            </w:r>
          </w:p>
        </w:tc>
        <w:tc>
          <w:tcPr>
            <w:tcW w:w="2220" w:type="dxa"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0.67033</w:t>
            </w:r>
          </w:p>
        </w:tc>
        <w:tc>
          <w:tcPr>
            <w:tcW w:w="2220" w:type="dxa"/>
          </w:tcPr>
          <w:p w:rsidR="00EB1020" w:rsidRPr="006E5D41" w:rsidRDefault="00EB1020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13.297</w:t>
            </w:r>
          </w:p>
        </w:tc>
        <w:tc>
          <w:tcPr>
            <w:tcW w:w="2119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0.77936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12.206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2.5</w:t>
            </w:r>
          </w:p>
        </w:tc>
        <w:tc>
          <w:tcPr>
            <w:tcW w:w="2220" w:type="dxa"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0.67995</w:t>
            </w:r>
          </w:p>
        </w:tc>
        <w:tc>
          <w:tcPr>
            <w:tcW w:w="2220" w:type="dxa"/>
          </w:tcPr>
          <w:p w:rsidR="00EB1020" w:rsidRPr="006E5D41" w:rsidRDefault="00EB1020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18.200</w:t>
            </w:r>
          </w:p>
        </w:tc>
        <w:tc>
          <w:tcPr>
            <w:tcW w:w="2119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0.78811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17.119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3</w:t>
            </w:r>
          </w:p>
        </w:tc>
        <w:tc>
          <w:tcPr>
            <w:tcW w:w="2220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0.68727</w:t>
            </w:r>
          </w:p>
        </w:tc>
        <w:tc>
          <w:tcPr>
            <w:tcW w:w="2220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23.127</w:t>
            </w:r>
          </w:p>
        </w:tc>
        <w:tc>
          <w:tcPr>
            <w:tcW w:w="2119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0.79466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22.053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3.5</w:t>
            </w:r>
          </w:p>
        </w:tc>
        <w:tc>
          <w:tcPr>
            <w:tcW w:w="2220" w:type="dxa"/>
          </w:tcPr>
          <w:p w:rsidR="00EB1020" w:rsidRPr="006E5D41" w:rsidRDefault="00ED5493" w:rsidP="00A946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0.69314</w:t>
            </w:r>
          </w:p>
        </w:tc>
        <w:tc>
          <w:tcPr>
            <w:tcW w:w="2220" w:type="dxa"/>
          </w:tcPr>
          <w:p w:rsidR="00EB1020" w:rsidRPr="006E5D41" w:rsidRDefault="00ED5493" w:rsidP="00ED549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28.069</w:t>
            </w:r>
          </w:p>
        </w:tc>
        <w:tc>
          <w:tcPr>
            <w:tcW w:w="2119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0.79988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307E97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27.001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4</w:t>
            </w:r>
          </w:p>
        </w:tc>
        <w:tc>
          <w:tcPr>
            <w:tcW w:w="2220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0.69801</w:t>
            </w:r>
          </w:p>
        </w:tc>
        <w:tc>
          <w:tcPr>
            <w:tcW w:w="2220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33.020</w:t>
            </w:r>
          </w:p>
        </w:tc>
        <w:tc>
          <w:tcPr>
            <w:tcW w:w="2119" w:type="dxa"/>
          </w:tcPr>
          <w:p w:rsidR="00EB1020" w:rsidRPr="006E5D41" w:rsidRDefault="00307E97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0.80116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307E97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31.988</w:t>
            </w:r>
          </w:p>
        </w:tc>
      </w:tr>
      <w:tr w:rsidR="00EB1020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4.5</w:t>
            </w:r>
          </w:p>
        </w:tc>
        <w:tc>
          <w:tcPr>
            <w:tcW w:w="2220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0.70218</w:t>
            </w:r>
          </w:p>
        </w:tc>
        <w:tc>
          <w:tcPr>
            <w:tcW w:w="2220" w:type="dxa"/>
          </w:tcPr>
          <w:p w:rsidR="00EB1020" w:rsidRPr="006E5D41" w:rsidRDefault="00ED5493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37.978</w:t>
            </w:r>
          </w:p>
        </w:tc>
        <w:tc>
          <w:tcPr>
            <w:tcW w:w="2119" w:type="dxa"/>
          </w:tcPr>
          <w:p w:rsidR="00EB1020" w:rsidRPr="006E5D41" w:rsidRDefault="00307E97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0.80144</w:t>
            </w:r>
          </w:p>
        </w:tc>
        <w:tc>
          <w:tcPr>
            <w:tcW w:w="2119" w:type="dxa"/>
            <w:tcBorders>
              <w:right w:val="single" w:sz="12" w:space="0" w:color="5B9BD5" w:themeColor="accent5"/>
            </w:tcBorders>
          </w:tcPr>
          <w:p w:rsidR="00EB1020" w:rsidRPr="006E5D41" w:rsidRDefault="00307E97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36.986</w:t>
            </w:r>
          </w:p>
        </w:tc>
      </w:tr>
      <w:tr w:rsidR="00EB1020" w:rsidRPr="00420798" w:rsidTr="0056460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</w:tcPr>
          <w:p w:rsidR="00EB1020" w:rsidRPr="006E5D41" w:rsidRDefault="00EB1020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 w:rsidRPr="006E5D41">
              <w:rPr>
                <w:b w:val="0"/>
                <w:caps/>
                <w:color w:val="000000" w:themeColor="text1"/>
                <w:lang w:val="en-IN"/>
              </w:rPr>
              <w:t>5</w:t>
            </w:r>
          </w:p>
        </w:tc>
        <w:tc>
          <w:tcPr>
            <w:tcW w:w="2220" w:type="dxa"/>
            <w:tcBorders>
              <w:bottom w:val="single" w:sz="12" w:space="0" w:color="5B9BD5" w:themeColor="accent5"/>
            </w:tcBorders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0.70580</w:t>
            </w:r>
          </w:p>
        </w:tc>
        <w:tc>
          <w:tcPr>
            <w:tcW w:w="2220" w:type="dxa"/>
            <w:tcBorders>
              <w:bottom w:val="single" w:sz="12" w:space="0" w:color="5B9BD5" w:themeColor="accent5"/>
            </w:tcBorders>
          </w:tcPr>
          <w:p w:rsidR="00EB1020" w:rsidRPr="006E5D41" w:rsidRDefault="00ED5493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42.942</w:t>
            </w:r>
          </w:p>
        </w:tc>
        <w:tc>
          <w:tcPr>
            <w:tcW w:w="2119" w:type="dxa"/>
            <w:tcBorders>
              <w:bottom w:val="single" w:sz="12" w:space="0" w:color="5B9BD5" w:themeColor="accent5"/>
            </w:tcBorders>
          </w:tcPr>
          <w:p w:rsidR="00EB1020" w:rsidRPr="006E5D41" w:rsidRDefault="00307E97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0.80163</w:t>
            </w:r>
          </w:p>
        </w:tc>
        <w:tc>
          <w:tcPr>
            <w:tcW w:w="2119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</w:tcPr>
          <w:p w:rsidR="00EB1020" w:rsidRPr="006E5D41" w:rsidRDefault="00307E97" w:rsidP="0056460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41.984</w:t>
            </w:r>
          </w:p>
        </w:tc>
      </w:tr>
    </w:tbl>
    <w:p w:rsidR="00E94E8E" w:rsidRDefault="00E94E8E"/>
    <w:p w:rsidR="00972C1C" w:rsidRDefault="00972C1C"/>
    <w:p w:rsidR="00972C1C" w:rsidRDefault="005F278F">
      <w:r>
        <w:t>OUTPUT</w:t>
      </w:r>
    </w:p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5F278F" w:rsidRDefault="005F278F"/>
    <w:p w:rsidR="00011EE9" w:rsidRDefault="00011EE9"/>
    <w:p w:rsidR="00011EE9" w:rsidRDefault="00011EE9"/>
    <w:p w:rsidR="00011EE9" w:rsidRDefault="00011EE9"/>
    <w:p w:rsidR="00011EE9" w:rsidRDefault="00011EE9"/>
    <w:p w:rsidR="00011EE9" w:rsidRDefault="00011EE9"/>
    <w:p w:rsidR="00011EE9" w:rsidRDefault="00011EE9"/>
    <w:p w:rsidR="00011EE9" w:rsidRDefault="00011EE9"/>
    <w:p w:rsidR="00011EE9" w:rsidRDefault="00011EE9"/>
    <w:p w:rsidR="00011EE9" w:rsidRDefault="00011EE9"/>
    <w:p w:rsidR="005F278F" w:rsidRDefault="005F278F"/>
    <w:p w:rsidR="005F278F" w:rsidRDefault="005F278F"/>
    <w:tbl>
      <w:tblPr>
        <w:tblStyle w:val="GridTable4-Accent6"/>
        <w:tblW w:w="10517" w:type="dxa"/>
        <w:tblLook w:val="04A0" w:firstRow="1" w:lastRow="0" w:firstColumn="1" w:lastColumn="0" w:noHBand="0" w:noVBand="1"/>
      </w:tblPr>
      <w:tblGrid>
        <w:gridCol w:w="1278"/>
        <w:gridCol w:w="1620"/>
        <w:gridCol w:w="1447"/>
        <w:gridCol w:w="1530"/>
        <w:gridCol w:w="1530"/>
        <w:gridCol w:w="1613"/>
        <w:gridCol w:w="1499"/>
      </w:tblGrid>
      <w:tr w:rsidR="00DD4065" w:rsidRPr="00420798" w:rsidTr="00564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lastRenderedPageBreak/>
              <w:t>V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CC</w:t>
            </w:r>
          </w:p>
        </w:tc>
        <w:tc>
          <w:tcPr>
            <w:tcW w:w="3067" w:type="dxa"/>
            <w:gridSpan w:val="2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B</w:t>
            </w:r>
            <w:r w:rsidRPr="00420798">
              <w:rPr>
                <w:caps/>
                <w:color w:val="000000" w:themeColor="text1"/>
                <w:lang w:val="en-IN"/>
              </w:rPr>
              <w:t xml:space="preserve"> =0 </w:t>
            </w:r>
            <w:r w:rsidRPr="00420798">
              <w:rPr>
                <w:caps/>
                <w:color w:val="000000" w:themeColor="text1"/>
              </w:rPr>
              <w:t>µA</w:t>
            </w:r>
          </w:p>
        </w:tc>
        <w:tc>
          <w:tcPr>
            <w:tcW w:w="3060" w:type="dxa"/>
            <w:gridSpan w:val="2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B</w:t>
            </w:r>
            <w:r w:rsidRPr="00420798">
              <w:rPr>
                <w:caps/>
                <w:color w:val="000000" w:themeColor="text1"/>
                <w:lang w:val="en-IN"/>
              </w:rPr>
              <w:t xml:space="preserve"> =20 </w:t>
            </w:r>
            <w:r w:rsidRPr="00420798">
              <w:rPr>
                <w:caps/>
                <w:color w:val="000000" w:themeColor="text1"/>
              </w:rPr>
              <w:t>µA</w:t>
            </w:r>
          </w:p>
        </w:tc>
        <w:tc>
          <w:tcPr>
            <w:tcW w:w="3112" w:type="dxa"/>
            <w:gridSpan w:val="2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caps/>
                <w:color w:val="000000" w:themeColor="text1"/>
                <w:vertAlign w:val="subscript"/>
                <w:lang w:val="en-IN"/>
              </w:rPr>
              <w:t>B</w:t>
            </w:r>
            <w:r w:rsidRPr="00420798">
              <w:rPr>
                <w:caps/>
                <w:color w:val="000000" w:themeColor="text1"/>
                <w:lang w:val="en-IN"/>
              </w:rPr>
              <w:t xml:space="preserve"> =60 </w:t>
            </w:r>
            <w:r w:rsidRPr="00420798">
              <w:rPr>
                <w:caps/>
                <w:color w:val="000000" w:themeColor="text1"/>
              </w:rPr>
              <w:t>µA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</w:p>
        </w:tc>
        <w:tc>
          <w:tcPr>
            <w:tcW w:w="1620" w:type="dxa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CE</w:t>
            </w:r>
          </w:p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(in Volts)</w:t>
            </w:r>
          </w:p>
        </w:tc>
        <w:tc>
          <w:tcPr>
            <w:tcW w:w="1447" w:type="dxa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C</w:t>
            </w:r>
          </w:p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 xml:space="preserve">(in </w:t>
            </w:r>
            <w:r w:rsidRPr="00420798">
              <w:rPr>
                <w:b/>
                <w:caps/>
                <w:color w:val="000000" w:themeColor="text1"/>
              </w:rPr>
              <w:t>mA)</w:t>
            </w:r>
          </w:p>
        </w:tc>
        <w:tc>
          <w:tcPr>
            <w:tcW w:w="1530" w:type="dxa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CE</w:t>
            </w:r>
          </w:p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(in Volts)</w:t>
            </w:r>
          </w:p>
        </w:tc>
        <w:tc>
          <w:tcPr>
            <w:tcW w:w="1530" w:type="dxa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C</w:t>
            </w:r>
          </w:p>
          <w:p w:rsidR="00DD4065" w:rsidRPr="00420798" w:rsidRDefault="00DD4065" w:rsidP="005A405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 xml:space="preserve">(in </w:t>
            </w:r>
            <w:r w:rsidR="005A4058">
              <w:rPr>
                <w:b/>
                <w:caps/>
                <w:color w:val="000000" w:themeColor="text1"/>
              </w:rPr>
              <w:t>M</w:t>
            </w:r>
            <w:r w:rsidRPr="00420798">
              <w:rPr>
                <w:b/>
                <w:caps/>
                <w:color w:val="000000" w:themeColor="text1"/>
              </w:rPr>
              <w:t>A)</w:t>
            </w:r>
          </w:p>
        </w:tc>
        <w:tc>
          <w:tcPr>
            <w:tcW w:w="1613" w:type="dxa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V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CE</w:t>
            </w:r>
          </w:p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(in Volts)</w:t>
            </w:r>
          </w:p>
        </w:tc>
        <w:tc>
          <w:tcPr>
            <w:tcW w:w="1499" w:type="dxa"/>
            <w:hideMark/>
          </w:tcPr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>I</w:t>
            </w:r>
            <w:r w:rsidRPr="00420798">
              <w:rPr>
                <w:b/>
                <w:caps/>
                <w:color w:val="000000" w:themeColor="text1"/>
                <w:vertAlign w:val="subscript"/>
                <w:lang w:val="en-IN"/>
              </w:rPr>
              <w:t>C</w:t>
            </w:r>
          </w:p>
          <w:p w:rsidR="00DD4065" w:rsidRPr="00420798" w:rsidRDefault="00DD4065" w:rsidP="0056460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color w:val="000000" w:themeColor="text1"/>
              </w:rPr>
            </w:pPr>
            <w:r w:rsidRPr="00420798">
              <w:rPr>
                <w:b/>
                <w:caps/>
                <w:color w:val="000000" w:themeColor="text1"/>
                <w:lang w:val="en-IN"/>
              </w:rPr>
              <w:t xml:space="preserve">(in </w:t>
            </w:r>
            <w:r w:rsidRPr="00420798">
              <w:rPr>
                <w:b/>
                <w:caps/>
                <w:color w:val="000000" w:themeColor="text1"/>
              </w:rPr>
              <w:t>mA)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1D4324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1D4324">
              <w:rPr>
                <w:b w:val="0"/>
                <w:caps/>
                <w:color w:val="000000" w:themeColor="text1"/>
                <w:lang w:val="en-IN"/>
              </w:rPr>
              <w:t>0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0.0102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0.0102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0.014528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0.014528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1D4324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1D4324">
              <w:rPr>
                <w:b w:val="0"/>
                <w:caps/>
                <w:color w:val="000000" w:themeColor="text1"/>
                <w:lang w:val="en-IN"/>
              </w:rPr>
              <w:t>0.1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0.1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0.0421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0.0579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0.030123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0.069877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1D4324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1D4324">
              <w:rPr>
                <w:b w:val="0"/>
                <w:caps/>
                <w:color w:val="000000" w:themeColor="text1"/>
                <w:lang w:val="en-IN"/>
              </w:rPr>
              <w:t>0.2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0.2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0.05933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0.14067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0.040552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0.15945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0.3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0.3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0.07108</w:t>
            </w:r>
          </w:p>
        </w:tc>
        <w:tc>
          <w:tcPr>
            <w:tcW w:w="1530" w:type="dxa"/>
            <w:hideMark/>
          </w:tcPr>
          <w:p w:rsidR="00DD4065" w:rsidRPr="00011EE9" w:rsidRDefault="00723401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0.22891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0.048373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0.25163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 w:rsidRPr="00420798">
              <w:rPr>
                <w:caps/>
                <w:color w:val="000000" w:themeColor="text1"/>
                <w:lang w:val="en-IN"/>
              </w:rPr>
              <w:t>0.</w:t>
            </w:r>
            <w:r>
              <w:rPr>
                <w:b w:val="0"/>
                <w:caps/>
                <w:color w:val="000000" w:themeColor="text1"/>
                <w:lang w:val="en-IN"/>
              </w:rPr>
              <w:t>4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0.4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0.08016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0.31983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0.054647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0.34535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0.5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0.5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0.08772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0.41228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0.059905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0.4401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0.6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0.6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0.09431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0.5057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0.064448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0.53555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0.7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0.7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0.1003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0.59971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0.068464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0.63154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0.8</w:t>
            </w:r>
          </w:p>
        </w:tc>
        <w:tc>
          <w:tcPr>
            <w:tcW w:w="1620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0.8</w:t>
            </w:r>
          </w:p>
        </w:tc>
        <w:tc>
          <w:tcPr>
            <w:tcW w:w="1447" w:type="dxa"/>
            <w:hideMark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0.10585</w:t>
            </w:r>
          </w:p>
        </w:tc>
        <w:tc>
          <w:tcPr>
            <w:tcW w:w="1530" w:type="dxa"/>
            <w:hideMark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0.69415</w:t>
            </w:r>
          </w:p>
        </w:tc>
        <w:tc>
          <w:tcPr>
            <w:tcW w:w="1613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0.072076</w:t>
            </w:r>
          </w:p>
        </w:tc>
        <w:tc>
          <w:tcPr>
            <w:tcW w:w="1499" w:type="dxa"/>
            <w:hideMark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0.72792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0.9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0.9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0.11115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0.78885</w:t>
            </w:r>
          </w:p>
        </w:tc>
        <w:tc>
          <w:tcPr>
            <w:tcW w:w="1613" w:type="dxa"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0.075369</w:t>
            </w:r>
          </w:p>
        </w:tc>
        <w:tc>
          <w:tcPr>
            <w:tcW w:w="1499" w:type="dxa"/>
          </w:tcPr>
          <w:p w:rsidR="00DD4065" w:rsidRPr="00011EE9" w:rsidRDefault="00A31BE2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0.82463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1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1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0.1163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0.8837</w:t>
            </w:r>
          </w:p>
        </w:tc>
        <w:tc>
          <w:tcPr>
            <w:tcW w:w="1613" w:type="dxa"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0.078405</w:t>
            </w:r>
          </w:p>
        </w:tc>
        <w:tc>
          <w:tcPr>
            <w:tcW w:w="1499" w:type="dxa"/>
          </w:tcPr>
          <w:p w:rsidR="00DD4065" w:rsidRPr="00011EE9" w:rsidRDefault="00A31BE2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0.92159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1.5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1.5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0.14345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1.3566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0.091037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1.4090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2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2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0.19702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1.8030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0.10124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1.8988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2.5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2.5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0.6077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1.8923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0.11028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2.3897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3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3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1.1077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1.8923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0.11882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2.8812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3.5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3.5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1.6077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1.8923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0.12736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3.3726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4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4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2.1077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1.8923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0.13637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3.8636</w:t>
            </w:r>
          </w:p>
        </w:tc>
      </w:tr>
      <w:tr w:rsidR="00DD4065" w:rsidRPr="00420798" w:rsidTr="00564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Pr="00420798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4.5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4.5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2.6077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1.8923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0.14651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4.3535</w:t>
            </w:r>
          </w:p>
        </w:tc>
      </w:tr>
      <w:tr w:rsidR="00DD4065" w:rsidRPr="00420798" w:rsidTr="0056460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D4065" w:rsidRDefault="00DD4065" w:rsidP="00DD4065">
            <w:pPr>
              <w:spacing w:line="480" w:lineRule="auto"/>
              <w:jc w:val="center"/>
              <w:rPr>
                <w:b w:val="0"/>
                <w:caps/>
                <w:color w:val="000000" w:themeColor="text1"/>
                <w:lang w:val="en-IN"/>
              </w:rPr>
            </w:pPr>
            <w:r>
              <w:rPr>
                <w:b w:val="0"/>
                <w:caps/>
                <w:color w:val="000000" w:themeColor="text1"/>
                <w:lang w:val="en-IN"/>
              </w:rPr>
              <w:t>5</w:t>
            </w:r>
          </w:p>
        </w:tc>
        <w:tc>
          <w:tcPr>
            <w:tcW w:w="1620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  <w:lang w:val="en-IN"/>
              </w:rPr>
            </w:pPr>
            <w:r w:rsidRPr="00DD4065">
              <w:rPr>
                <w:caps/>
                <w:color w:val="000000" w:themeColor="text1"/>
                <w:lang w:val="en-IN"/>
              </w:rPr>
              <w:t>5</w:t>
            </w:r>
          </w:p>
        </w:tc>
        <w:tc>
          <w:tcPr>
            <w:tcW w:w="1447" w:type="dxa"/>
          </w:tcPr>
          <w:p w:rsidR="00DD4065" w:rsidRPr="00DD4065" w:rsidRDefault="00DD4065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DD4065">
              <w:rPr>
                <w:caps/>
                <w:color w:val="000000" w:themeColor="text1"/>
              </w:rPr>
              <w:t>0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3.1077</w:t>
            </w:r>
          </w:p>
        </w:tc>
        <w:tc>
          <w:tcPr>
            <w:tcW w:w="1530" w:type="dxa"/>
          </w:tcPr>
          <w:p w:rsidR="00DD4065" w:rsidRPr="00011EE9" w:rsidRDefault="005A4058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1.8923</w:t>
            </w:r>
          </w:p>
        </w:tc>
        <w:tc>
          <w:tcPr>
            <w:tcW w:w="1613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0.15902</w:t>
            </w:r>
          </w:p>
        </w:tc>
        <w:tc>
          <w:tcPr>
            <w:tcW w:w="1499" w:type="dxa"/>
          </w:tcPr>
          <w:p w:rsidR="00DD4065" w:rsidRPr="00011EE9" w:rsidRDefault="00011EE9" w:rsidP="00DD40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000000" w:themeColor="text1"/>
              </w:rPr>
            </w:pPr>
            <w:r w:rsidRPr="00011EE9">
              <w:rPr>
                <w:caps/>
                <w:color w:val="000000" w:themeColor="text1"/>
              </w:rPr>
              <w:t>4.841</w:t>
            </w:r>
          </w:p>
        </w:tc>
      </w:tr>
    </w:tbl>
    <w:p w:rsidR="005F278F" w:rsidRDefault="005F278F">
      <w:bookmarkStart w:id="0" w:name="_GoBack"/>
      <w:bookmarkEnd w:id="0"/>
    </w:p>
    <w:sectPr w:rsidR="005F278F" w:rsidSect="00011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20"/>
    <w:rsid w:val="00011EE9"/>
    <w:rsid w:val="00307E97"/>
    <w:rsid w:val="005A4058"/>
    <w:rsid w:val="005F278F"/>
    <w:rsid w:val="00723401"/>
    <w:rsid w:val="00972C1C"/>
    <w:rsid w:val="00A31BE2"/>
    <w:rsid w:val="00A946AE"/>
    <w:rsid w:val="00C54484"/>
    <w:rsid w:val="00DD4065"/>
    <w:rsid w:val="00E94E8E"/>
    <w:rsid w:val="00EB1020"/>
    <w:rsid w:val="00E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E92A"/>
  <w15:chartTrackingRefBased/>
  <w15:docId w15:val="{FAEB7FD8-1E5C-4B4C-8005-53B99AE9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0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EB1020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4065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2020-11-05T08:50:00Z</dcterms:created>
  <dcterms:modified xsi:type="dcterms:W3CDTF">2020-11-06T20:02:00Z</dcterms:modified>
</cp:coreProperties>
</file>