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Make a single PDF file for the following question. The name of file must be your admission number. The submitted file should contain the code and the screenshot of the generated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5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Write a program to implement a queue and perform basic operations of queue using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spacing w:line="240" w:lineRule="auto"/>
        <w:ind w:left="1191" w:firstLine="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En(enter)queue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line="240" w:lineRule="auto"/>
        <w:ind w:left="1191" w:firstLine="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De(lete)queue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240" w:lineRule="auto"/>
        <w:ind w:left="1191" w:firstLine="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peek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spacing w:line="240" w:lineRule="auto"/>
        <w:ind w:left="1191" w:firstLine="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isfull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240" w:lineRule="auto"/>
        <w:ind w:left="1191" w:firstLine="0"/>
        <w:rPr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isempty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39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2. Perform above operations to implement DEQueue (double ended queue)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0"/>
          <w:szCs w:val="30"/>
          <w:rtl w:val="0"/>
        </w:rPr>
        <w:t xml:space="preserve">3. Perform above operations to implement Priority Queue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b w:val="0"/>
        <w:sz w:val="30"/>
        <w:szCs w:val="3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