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14:paraId="00000002">
      <w:pPr>
        <w:spacing w:after="240" w:before="240" w:lineRule="auto"/>
        <w:jc w:val="center"/>
        <w:rPr>
          <w:b w:val="1"/>
          <w:sz w:val="38"/>
          <w:szCs w:val="38"/>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PredictWell</w:t>
      </w:r>
      <w:r w:rsidDel="00000000" w:rsidR="00000000" w:rsidRPr="00000000">
        <w:rPr>
          <w:sz w:val="26"/>
          <w:szCs w:val="26"/>
          <w:rtl w:val="0"/>
        </w:rPr>
        <w:t xml:space="preserve"> is an AI-powered web-based platform designed to assess the risk of diabetes using machine learning algorithms. The system allows users to input basic health parameters such as number of pregnancies, glucose level, blood pressure, insulin level, body mass index (BMI), and age. By analyzing this data through a trained predictive model, the website provides an instant diabetes risk percentage, categorizing it into ranges such as low, moderate, or high risk.</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platform aims to enhance public awareness by offering an accessible and educational tool for early diabetes risk screening. It is especially valuable for individuals who may not have immediate access to medical testing facilities. Along with the analysis, the website generates personalized health recommendations based on the user's input data.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PredictWell emphasizes that the tool is for informational purposes only and not a substitute for professional medical advice. By leveraging artificial intelligence in healthcare, this system demonstrates the potential of digital health innovations to empower users in making informed decisions about their well-being.</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