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48"/>
        </w:rPr>
        <w:t>SearchFix AI — Software Documentation</w:t>
      </w:r>
    </w:p>
    <w:p>
      <w:pPr>
        <w:jc w:val="center"/>
      </w:pPr>
      <w:r>
        <w:rPr>
          <w:rFonts w:ascii="Arial" w:hAnsi="Arial"/>
          <w:i/>
          <w:color w:val="64748B"/>
          <w:sz w:val="26"/>
        </w:rPr>
        <w:t>Interactive 2-Step Extension Architecture (Comment Analysis ➔ Document Selection ➔ PDF Upload ➔ Decision)</w:t>
      </w:r>
    </w:p>
    <w:p>
      <w:pPr>
        <w:spacing w:after="2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1F5F9"/>
          </w:tcPr>
          <w:p>
            <w:r>
              <w:rPr>
                <w:rFonts w:ascii="Arial" w:hAnsi="Arial"/>
                <w:b/>
                <w:color w:val="1E293B"/>
                <w:sz w:val="20"/>
              </w:rPr>
              <w:t>Application Type</w:t>
            </w:r>
          </w:p>
        </w:tc>
        <w:tc>
          <w:tcPr>
            <w:tcW w:type="dxa" w:w="4968"/>
            <w:shd w:fill="F1F5F9"/>
          </w:tcPr>
          <w:p>
            <w:r>
              <w:rPr>
                <w:rFonts w:ascii="Arial" w:hAnsi="Arial"/>
                <w:color w:val="334155"/>
                <w:sz w:val="20"/>
              </w:rPr>
              <w:t>Chrome Extension Client + Node.js Express REST Web Service API</w:t>
            </w:r>
          </w:p>
        </w:tc>
      </w:tr>
      <w:tr>
        <w:tc>
          <w:tcPr>
            <w:tcW w:type="dxa" w:w="4968"/>
            <w:shd w:fill="FFFFFF"/>
          </w:tcPr>
          <w:p>
            <w:r>
              <w:rPr>
                <w:rFonts w:ascii="Arial" w:hAnsi="Arial"/>
                <w:b/>
                <w:color w:val="1E293B"/>
                <w:sz w:val="20"/>
              </w:rPr>
              <w:t>AI Model &amp; Files API</w:t>
            </w:r>
          </w:p>
        </w:tc>
        <w:tc>
          <w:tcPr>
            <w:tcW w:type="dxa" w:w="4968"/>
            <w:shd w:fill="FFFFFF"/>
          </w:tcPr>
          <w:p>
            <w:r>
              <w:rPr>
                <w:rFonts w:ascii="Arial" w:hAnsi="Arial"/>
                <w:color w:val="334155"/>
                <w:sz w:val="20"/>
              </w:rPr>
              <w:t>Gemini 3.5 Flash + @google/genai Files API (PDF native parsing)</w:t>
            </w:r>
          </w:p>
        </w:tc>
      </w:tr>
      <w:tr>
        <w:tc>
          <w:tcPr>
            <w:tcW w:type="dxa" w:w="4968"/>
            <w:shd w:fill="F1F5F9"/>
          </w:tcPr>
          <w:p>
            <w:r>
              <w:rPr>
                <w:rFonts w:ascii="Arial" w:hAnsi="Arial"/>
                <w:b/>
                <w:color w:val="1E293B"/>
                <w:sz w:val="20"/>
              </w:rPr>
              <w:t>Decision Output States</w:t>
            </w:r>
          </w:p>
        </w:tc>
        <w:tc>
          <w:tcPr>
            <w:tcW w:type="dxa" w:w="4968"/>
            <w:shd w:fill="F1F5F9"/>
          </w:tcPr>
          <w:p>
            <w:r>
              <w:rPr>
                <w:rFonts w:ascii="Arial" w:hAnsi="Arial"/>
                <w:color w:val="334155"/>
                <w:sz w:val="20"/>
              </w:rPr>
              <w:t>ACCEPTED (Company Error) / DISPUTED (Files Correct) / REVIEW_REQUIRED</w:t>
            </w:r>
          </w:p>
        </w:tc>
      </w:tr>
      <w:tr>
        <w:tc>
          <w:tcPr>
            <w:tcW w:type="dxa" w:w="4968"/>
            <w:shd w:fill="FFFFFF"/>
          </w:tcPr>
          <w:p>
            <w:r>
              <w:rPr>
                <w:rFonts w:ascii="Arial" w:hAnsi="Arial"/>
                <w:b/>
                <w:color w:val="1E293B"/>
                <w:sz w:val="20"/>
              </w:rPr>
              <w:t>Step 1 Endpoint</w:t>
            </w:r>
          </w:p>
        </w:tc>
        <w:tc>
          <w:tcPr>
            <w:tcW w:type="dxa" w:w="4968"/>
            <w:shd w:fill="FFFFFF"/>
          </w:tcPr>
          <w:p>
            <w:r>
              <w:rPr>
                <w:rFonts w:ascii="Arial" w:hAnsi="Arial"/>
                <w:color w:val="334155"/>
                <w:sz w:val="20"/>
              </w:rPr>
              <w:t>POST http://localhost:3000/api/searchfix/analyze-comments (application/json)</w:t>
            </w:r>
          </w:p>
        </w:tc>
      </w:tr>
      <w:tr>
        <w:tc>
          <w:tcPr>
            <w:tcW w:type="dxa" w:w="4968"/>
            <w:shd w:fill="F1F5F9"/>
          </w:tcPr>
          <w:p>
            <w:r>
              <w:rPr>
                <w:rFonts w:ascii="Arial" w:hAnsi="Arial"/>
                <w:b/>
                <w:color w:val="1E293B"/>
                <w:sz w:val="20"/>
              </w:rPr>
              <w:t>Step 2 Endpoint</w:t>
            </w:r>
          </w:p>
        </w:tc>
        <w:tc>
          <w:tcPr>
            <w:tcW w:type="dxa" w:w="4968"/>
            <w:shd w:fill="F1F5F9"/>
          </w:tcPr>
          <w:p>
            <w:r>
              <w:rPr>
                <w:rFonts w:ascii="Arial" w:hAnsi="Arial"/>
                <w:color w:val="334155"/>
                <w:sz w:val="20"/>
              </w:rPr>
              <w:t>POST http://localhost:3000/api/searchfix/analyze-documents (multipart/form-data)</w:t>
            </w:r>
          </w:p>
        </w:tc>
      </w:tr>
      <w:tr>
        <w:tc>
          <w:tcPr>
            <w:tcW w:type="dxa" w:w="4968"/>
            <w:shd w:fill="FFFFFF"/>
          </w:tcPr>
          <w:p>
            <w:r>
              <w:rPr>
                <w:rFonts w:ascii="Arial" w:hAnsi="Arial"/>
                <w:b/>
                <w:color w:val="1E293B"/>
                <w:sz w:val="20"/>
              </w:rPr>
              <w:t>Security Vault</w:t>
            </w:r>
          </w:p>
        </w:tc>
        <w:tc>
          <w:tcPr>
            <w:tcW w:type="dxa" w:w="4968"/>
            <w:shd w:fill="FFFFFF"/>
          </w:tcPr>
          <w:p>
            <w:r>
              <w:rPr>
                <w:rFonts w:ascii="Arial" w:hAnsi="Arial"/>
                <w:color w:val="334155"/>
                <w:sz w:val="20"/>
              </w:rPr>
              <w:t>GEMINI_API_KEY maintained strictly on backend environment (.env)</w:t>
            </w:r>
          </w:p>
        </w:tc>
      </w:tr>
    </w:tbl>
    <w:p>
      <w:pPr>
        <w:spacing w:after="400"/>
      </w:pPr>
    </w:p>
    <w:p>
      <w:pPr>
        <w:pStyle w:val="Heading1"/>
        <w:spacing w:before="320" w:after="120"/>
      </w:pPr>
      <w:r>
        <w:rPr>
          <w:rFonts w:ascii="Arial" w:hAnsi="Arial"/>
          <w:b/>
          <w:color w:val="0F172A"/>
          <w:sz w:val="32"/>
        </w:rPr>
        <w:t>1. Interactive 2-Step Architecture &amp; Workflow</w:t>
      </w:r>
    </w:p>
    <w:p>
      <w:pPr>
        <w:spacing w:after="200"/>
      </w:pPr>
      <w:r>
        <w:rPr>
          <w:rFonts w:ascii="Arial" w:hAnsi="Arial"/>
          <w:color w:val="334155"/>
          <w:sz w:val="21"/>
        </w:rPr>
        <w:t>Step 1 receives comments and returns required file types so the Chrome Extension downloads ONLY requested files. Step 2 receives uploaded PDFs and evaluates ACCEPTED / DISPUTED / REVIEW_REQUIRED decisions.</w:t>
      </w:r>
    </w:p>
    <w:p>
      <w:pPr>
        <w:spacing w:after="480"/>
        <w:jc w:val="center"/>
      </w:pPr>
      <w:r>
        <w:drawing>
          <wp:inline xmlns:a="http://schemas.openxmlformats.org/drawingml/2006/main" xmlns:pic="http://schemas.openxmlformats.org/drawingml/2006/picture">
            <wp:extent cx="6217920" cy="44043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404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20" w:after="120"/>
      </w:pPr>
      <w:r>
        <w:rPr>
          <w:rFonts w:ascii="Arial" w:hAnsi="Arial"/>
          <w:b/>
          <w:color w:val="0F172A"/>
          <w:sz w:val="32"/>
        </w:rPr>
        <w:t>2. Decision Engine Output States</w:t>
      </w:r>
    </w:p>
    <w:p>
      <w:pPr>
        <w:spacing w:after="200"/>
      </w:pPr>
      <w:r>
        <w:rPr>
          <w:rFonts w:ascii="Arial" w:hAnsi="Arial"/>
          <w:color w:val="334155"/>
          <w:sz w:val="21"/>
        </w:rPr>
        <w:t>ACCEPTED confirms company error. DISPUTED confirms company files are correct. REVIEW_REQUIRED is returned when required supporting documents were not provided or evidence is inconclusive.</w:t>
      </w:r>
    </w:p>
    <w:p>
      <w:pPr>
        <w:spacing w:after="480"/>
        <w:jc w:val="center"/>
      </w:pPr>
      <w:r>
        <w:drawing>
          <wp:inline xmlns:a="http://schemas.openxmlformats.org/drawingml/2006/main" xmlns:pic="http://schemas.openxmlformats.org/drawingml/2006/picture">
            <wp:extent cx="6217920" cy="28498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849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20" w:after="120"/>
      </w:pPr>
      <w:r>
        <w:rPr>
          <w:rFonts w:ascii="Arial" w:hAnsi="Arial"/>
          <w:b/>
          <w:color w:val="0F172A"/>
          <w:sz w:val="32"/>
        </w:rPr>
        <w:t>3. Interactive 2-Step Sequence Map</w:t>
      </w:r>
    </w:p>
    <w:p>
      <w:pPr>
        <w:spacing w:after="200"/>
      </w:pPr>
      <w:r>
        <w:rPr>
          <w:rFonts w:ascii="Arial" w:hAnsi="Arial"/>
          <w:color w:val="334155"/>
          <w:sz w:val="21"/>
        </w:rPr>
        <w:t>Sequence diagram detailing the 2-step interaction between Chrome Extension, Express Controller, Comment &amp; Routing Engine, Document Analyzer, and Gemini Files API.</w:t>
      </w:r>
    </w:p>
    <w:p>
      <w:pPr>
        <w:spacing w:after="480"/>
        <w:jc w:val="center"/>
      </w:pPr>
      <w:r>
        <w:drawing>
          <wp:inline xmlns:a="http://schemas.openxmlformats.org/drawingml/2006/main" xmlns:pic="http://schemas.openxmlformats.org/drawingml/2006/picture">
            <wp:extent cx="6217920" cy="33680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368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20" w:after="120"/>
      </w:pPr>
      <w:r>
        <w:rPr>
          <w:rFonts w:ascii="Arial" w:hAnsi="Arial"/>
          <w:b/>
          <w:color w:val="0F172A"/>
          <w:sz w:val="32"/>
        </w:rPr>
        <w:t>4. Technology Matrix &amp; Endpoint Mapping</w:t>
      </w:r>
    </w:p>
    <w:p>
      <w:pPr>
        <w:spacing w:after="200"/>
      </w:pPr>
      <w:r>
        <w:rPr>
          <w:rFonts w:ascii="Arial" w:hAnsi="Arial"/>
          <w:color w:val="334155"/>
          <w:sz w:val="21"/>
        </w:rPr>
        <w:t>Breakdown of Node.js, Express, Multer file upload, Zod schema engine, @google/genai SDK, and endpoints.</w:t>
      </w:r>
    </w:p>
    <w:p>
      <w:pPr>
        <w:spacing w:after="480"/>
        <w:jc w:val="center"/>
      </w:pPr>
      <w:r>
        <w:drawing>
          <wp:inline xmlns:a="http://schemas.openxmlformats.org/drawingml/2006/main" xmlns:pic="http://schemas.openxmlformats.org/drawingml/2006/picture">
            <wp:extent cx="6217920" cy="31089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108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320" w:after="120"/>
      </w:pPr>
      <w:r>
        <w:rPr>
          <w:rFonts w:ascii="Arial" w:hAnsi="Arial"/>
          <w:b/>
          <w:color w:val="0F172A"/>
          <w:sz w:val="32"/>
        </w:rPr>
        <w:t>5. Hosting, Endpoints &amp; Deployment Topology</w:t>
      </w:r>
    </w:p>
    <w:p>
      <w:pPr>
        <w:spacing w:after="200"/>
      </w:pPr>
      <w:r>
        <w:rPr>
          <w:rFonts w:ascii="Arial" w:hAnsi="Arial"/>
          <w:color w:val="334155"/>
          <w:sz w:val="21"/>
        </w:rPr>
        <w:t>Overview of interactive API routes, test suites (Orders 1-8 regression dataset), and cloud hosting on Render.com.</w:t>
      </w:r>
    </w:p>
    <w:p>
      <w:pPr>
        <w:spacing w:after="480"/>
        <w:jc w:val="center"/>
      </w:pPr>
      <w:r>
        <w:drawing>
          <wp:inline xmlns:a="http://schemas.openxmlformats.org/drawingml/2006/main" xmlns:pic="http://schemas.openxmlformats.org/drawingml/2006/picture">
            <wp:extent cx="6217920" cy="2590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25908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