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2F2F2" w:themeColor="background1" w:themeShade="F2"/>
  <w:body>
    <w:p w14:paraId="2FE5254C" w14:textId="77777777" w:rsidR="007D5391" w:rsidRPr="009B268C" w:rsidRDefault="00BF3B81">
      <w:pPr>
        <w:jc w:val="center"/>
        <w:rPr>
          <w:rFonts w:hint="eastAsia"/>
          <w:highlight w:val="yellow"/>
        </w:rPr>
      </w:pPr>
      <w:r w:rsidRPr="009B268C">
        <w:rPr>
          <w:b/>
          <w:sz w:val="50"/>
          <w:highlight w:val="yellow"/>
        </w:rPr>
        <w:t>CHURNLENS AI</w:t>
      </w:r>
    </w:p>
    <w:p w14:paraId="04D4AC81" w14:textId="77777777" w:rsidR="007D5391" w:rsidRDefault="00BF3B81">
      <w:pPr>
        <w:jc w:val="center"/>
        <w:rPr>
          <w:rFonts w:hint="eastAsia"/>
        </w:rPr>
      </w:pPr>
      <w:r w:rsidRPr="009B268C">
        <w:rPr>
          <w:b/>
          <w:sz w:val="34"/>
          <w:highlight w:val="yellow"/>
        </w:rPr>
        <w:t>Week 2 — Advanced Data Visualization &amp; Storytelling</w:t>
      </w:r>
    </w:p>
    <w:p w14:paraId="6DEA86CF" w14:textId="77777777" w:rsidR="007D5391" w:rsidRPr="00DB4AD9" w:rsidRDefault="00BF3B81">
      <w:pPr>
        <w:jc w:val="center"/>
        <w:rPr>
          <w:rFonts w:hint="eastAsia"/>
          <w:b/>
          <w:color w:val="0D0D0D" w:themeColor="text1" w:themeTint="F2"/>
          <w:sz w:val="32"/>
          <w:szCs w:val="36"/>
          <w14:shadow w14:blurRad="0" w14:dist="38100" w14:dir="2700000" w14:sx="100000" w14:sy="100000" w14:kx="0" w14:ky="0" w14:algn="bl">
            <w14:schemeClr w14:val="accent5"/>
          </w14:shadow>
          <w14:textOutline w14:w="6731" w14:cap="flat" w14:cmpd="sng" w14:algn="ctr">
            <w14:solidFill>
              <w14:schemeClr w14:val="tx1"/>
            </w14:solidFill>
            <w14:prstDash w14:val="solid"/>
            <w14:round/>
          </w14:textOutline>
          <w14:stylisticSets>
            <w14:styleSet w14:id="2"/>
          </w14:stylisticSets>
        </w:rPr>
      </w:pPr>
      <w:r w:rsidRPr="00DB4AD9">
        <w:rPr>
          <w:b/>
          <w:i/>
          <w:color w:val="0D0D0D" w:themeColor="text1" w:themeTint="F2"/>
          <w:sz w:val="32"/>
          <w:szCs w:val="36"/>
          <w14:shadow w14:blurRad="0" w14:dist="38100" w14:dir="2700000" w14:sx="100000" w14:sy="100000" w14:kx="0" w14:ky="0" w14:algn="bl">
            <w14:schemeClr w14:val="accent5"/>
          </w14:shadow>
          <w14:textOutline w14:w="6731" w14:cap="flat" w14:cmpd="sng" w14:algn="ctr">
            <w14:solidFill>
              <w14:schemeClr w14:val="tx1"/>
            </w14:solidFill>
            <w14:prstDash w14:val="solid"/>
            <w14:round/>
          </w14:textOutline>
          <w14:stylisticSets>
            <w14:styleSet w14:id="2"/>
          </w14:stylisticSets>
        </w:rPr>
        <w:t>Customer Churn Analysis and Prediction Using Python</w:t>
      </w:r>
    </w:p>
    <w:tbl>
      <w:tblPr>
        <w:tblStyle w:val="TableGrid"/>
        <w:tblW w:w="0" w:type="auto"/>
        <w:jc w:val="center"/>
        <w:shd w:val="clear" w:color="auto" w:fill="FBD4B4" w:themeFill="accent6" w:themeFillTint="66"/>
        <w:tblLook w:val="04A0" w:firstRow="1" w:lastRow="0" w:firstColumn="1" w:lastColumn="0" w:noHBand="0" w:noVBand="1"/>
      </w:tblPr>
      <w:tblGrid>
        <w:gridCol w:w="2250"/>
        <w:gridCol w:w="7830"/>
      </w:tblGrid>
      <w:tr w:rsidR="007D5391" w14:paraId="47B3FFDC" w14:textId="77777777" w:rsidTr="00DB4AD9">
        <w:trPr>
          <w:jc w:val="center"/>
        </w:trPr>
        <w:tc>
          <w:tcPr>
            <w:tcW w:w="2250" w:type="dxa"/>
            <w:shd w:val="clear" w:color="auto" w:fill="FBD4B4" w:themeFill="accent6" w:themeFillTint="66"/>
          </w:tcPr>
          <w:p w14:paraId="5942AB02" w14:textId="77777777" w:rsidR="007D5391" w:rsidRPr="00DB4AD9" w:rsidRDefault="00BF3B81">
            <w:pPr>
              <w:rPr>
                <w:rFonts w:hint="eastAsia"/>
                <w:b/>
                <w:bCs/>
                <w:sz w:val="24"/>
                <w:szCs w:val="28"/>
              </w:rPr>
            </w:pPr>
            <w:r w:rsidRPr="00DB4AD9">
              <w:rPr>
                <w:b/>
                <w:bCs/>
                <w:sz w:val="24"/>
                <w:szCs w:val="28"/>
              </w:rPr>
              <w:t>Internship</w:t>
            </w:r>
          </w:p>
        </w:tc>
        <w:tc>
          <w:tcPr>
            <w:tcW w:w="7830" w:type="dxa"/>
            <w:shd w:val="clear" w:color="auto" w:fill="FBD4B4" w:themeFill="accent6" w:themeFillTint="66"/>
          </w:tcPr>
          <w:p w14:paraId="6DA756A6" w14:textId="77777777" w:rsidR="007D5391" w:rsidRDefault="00BF3B81">
            <w:pPr>
              <w:rPr>
                <w:rFonts w:hint="eastAsia"/>
              </w:rPr>
            </w:pPr>
            <w:r>
              <w:t>YuvaIntern — Virtual Data Science with Python Apprentice Intern</w:t>
            </w:r>
          </w:p>
        </w:tc>
      </w:tr>
      <w:tr w:rsidR="007D5391" w14:paraId="494E14FD" w14:textId="77777777" w:rsidTr="00DB4AD9">
        <w:trPr>
          <w:jc w:val="center"/>
        </w:trPr>
        <w:tc>
          <w:tcPr>
            <w:tcW w:w="2250" w:type="dxa"/>
            <w:shd w:val="clear" w:color="auto" w:fill="FBD4B4" w:themeFill="accent6" w:themeFillTint="66"/>
          </w:tcPr>
          <w:p w14:paraId="5F6B87F1" w14:textId="77777777" w:rsidR="007D5391" w:rsidRPr="00DB4AD9" w:rsidRDefault="00BF3B81">
            <w:pPr>
              <w:rPr>
                <w:rFonts w:hint="eastAsia"/>
                <w:b/>
                <w:bCs/>
                <w:sz w:val="24"/>
                <w:szCs w:val="28"/>
              </w:rPr>
            </w:pPr>
            <w:r w:rsidRPr="00DB4AD9">
              <w:rPr>
                <w:b/>
                <w:bCs/>
                <w:sz w:val="24"/>
                <w:szCs w:val="28"/>
              </w:rPr>
              <w:t>Week</w:t>
            </w:r>
          </w:p>
        </w:tc>
        <w:tc>
          <w:tcPr>
            <w:tcW w:w="7830" w:type="dxa"/>
            <w:shd w:val="clear" w:color="auto" w:fill="FBD4B4" w:themeFill="accent6" w:themeFillTint="66"/>
          </w:tcPr>
          <w:p w14:paraId="3B4B0D68" w14:textId="77777777" w:rsidR="007D5391" w:rsidRDefault="00BF3B81">
            <w:pPr>
              <w:rPr>
                <w:rFonts w:hint="eastAsia"/>
              </w:rPr>
            </w:pPr>
            <w:r>
              <w:t>Week 2 of 5</w:t>
            </w:r>
          </w:p>
        </w:tc>
      </w:tr>
      <w:tr w:rsidR="007D5391" w14:paraId="63632994" w14:textId="77777777" w:rsidTr="00DB4AD9">
        <w:trPr>
          <w:jc w:val="center"/>
        </w:trPr>
        <w:tc>
          <w:tcPr>
            <w:tcW w:w="2250" w:type="dxa"/>
            <w:shd w:val="clear" w:color="auto" w:fill="FBD4B4" w:themeFill="accent6" w:themeFillTint="66"/>
          </w:tcPr>
          <w:p w14:paraId="53880F51" w14:textId="77777777" w:rsidR="007D5391" w:rsidRPr="00DB4AD9" w:rsidRDefault="00BF3B81">
            <w:pPr>
              <w:rPr>
                <w:rFonts w:hint="eastAsia"/>
                <w:b/>
                <w:bCs/>
                <w:sz w:val="24"/>
                <w:szCs w:val="28"/>
              </w:rPr>
            </w:pPr>
            <w:r w:rsidRPr="00DB4AD9">
              <w:rPr>
                <w:b/>
                <w:bCs/>
                <w:sz w:val="24"/>
                <w:szCs w:val="28"/>
              </w:rPr>
              <w:t>Dataset</w:t>
            </w:r>
          </w:p>
        </w:tc>
        <w:tc>
          <w:tcPr>
            <w:tcW w:w="7830" w:type="dxa"/>
            <w:shd w:val="clear" w:color="auto" w:fill="FBD4B4" w:themeFill="accent6" w:themeFillTint="66"/>
          </w:tcPr>
          <w:p w14:paraId="25C0755D" w14:textId="77777777" w:rsidR="007D5391" w:rsidRDefault="00BF3B81">
            <w:pPr>
              <w:rPr>
                <w:rFonts w:hint="eastAsia"/>
              </w:rPr>
            </w:pPr>
            <w:r>
              <w:t>IBM Telco Customer Churn Dataset</w:t>
            </w:r>
          </w:p>
        </w:tc>
      </w:tr>
      <w:tr w:rsidR="007D5391" w14:paraId="2CD4874F" w14:textId="77777777" w:rsidTr="00DB4AD9">
        <w:trPr>
          <w:jc w:val="center"/>
        </w:trPr>
        <w:tc>
          <w:tcPr>
            <w:tcW w:w="2250" w:type="dxa"/>
            <w:shd w:val="clear" w:color="auto" w:fill="FBD4B4" w:themeFill="accent6" w:themeFillTint="66"/>
          </w:tcPr>
          <w:p w14:paraId="6E3F06D4" w14:textId="77777777" w:rsidR="007D5391" w:rsidRPr="00DB4AD9" w:rsidRDefault="00BF3B81">
            <w:pPr>
              <w:rPr>
                <w:rFonts w:hint="eastAsia"/>
                <w:b/>
                <w:bCs/>
                <w:sz w:val="24"/>
                <w:szCs w:val="28"/>
              </w:rPr>
            </w:pPr>
            <w:r w:rsidRPr="00DB4AD9">
              <w:rPr>
                <w:b/>
                <w:bCs/>
                <w:sz w:val="24"/>
                <w:szCs w:val="28"/>
              </w:rPr>
              <w:t>Tools</w:t>
            </w:r>
          </w:p>
        </w:tc>
        <w:tc>
          <w:tcPr>
            <w:tcW w:w="7830" w:type="dxa"/>
            <w:shd w:val="clear" w:color="auto" w:fill="FBD4B4" w:themeFill="accent6" w:themeFillTint="66"/>
          </w:tcPr>
          <w:p w14:paraId="02F5DAB8" w14:textId="77777777" w:rsidR="007D5391" w:rsidRDefault="00BF3B81">
            <w:pPr>
              <w:rPr>
                <w:rFonts w:hint="eastAsia"/>
              </w:rPr>
            </w:pPr>
            <w:r>
              <w:t>Python • Pandas • NumPy • Matplotlib • Seaborn • Jupyter Notebook</w:t>
            </w:r>
          </w:p>
        </w:tc>
      </w:tr>
    </w:tbl>
    <w:p w14:paraId="70579998" w14:textId="77777777" w:rsidR="007D5391" w:rsidRDefault="00BF3B81">
      <w:pPr>
        <w:pStyle w:val="Heading1"/>
      </w:pPr>
      <w:r>
        <w:t>1. Executive Summary</w:t>
      </w:r>
    </w:p>
    <w:p w14:paraId="6BAC6064" w14:textId="77777777" w:rsidR="007D5391" w:rsidRDefault="00BF3B81">
      <w:pPr>
        <w:rPr>
          <w:rFonts w:hint="eastAsia"/>
        </w:rPr>
      </w:pPr>
      <w:r>
        <w:t>Week 2 extends the Week 1 exploratory data analysis into advanced data visualization and storytelling. The cleaned dataset contains 7,032 records and 21 variables. The objective is to communicate churn patterns through comparative charts, grouped customer segments, relationship analysis, and a combined heatmap. The notebook has been extended with additional visualization cells for Tech Support, Online Security, and Contract × Internet Service, together with a reusable summary table.</w:t>
      </w:r>
    </w:p>
    <w:p w14:paraId="4EFAC60D" w14:textId="77777777" w:rsidR="007D5391" w:rsidRDefault="00BF3B81">
      <w:pPr>
        <w:pStyle w:val="Heading1"/>
      </w:pPr>
      <w:r>
        <w:t>2. Week 2 Objectives</w:t>
      </w:r>
    </w:p>
    <w:p w14:paraId="058CC5F4" w14:textId="77777777" w:rsidR="007D5391" w:rsidRDefault="00BF3B81">
      <w:pPr>
        <w:pStyle w:val="ListBullet"/>
        <w:rPr>
          <w:rFonts w:hint="eastAsia"/>
        </w:rPr>
      </w:pPr>
      <w:r>
        <w:t>Transform analytical findings into clear and presentation-ready visual stories.</w:t>
      </w:r>
    </w:p>
    <w:p w14:paraId="0492E455" w14:textId="77777777" w:rsidR="007D5391" w:rsidRDefault="00BF3B81">
      <w:pPr>
        <w:pStyle w:val="ListBullet"/>
        <w:rPr>
          <w:rFonts w:hint="eastAsia"/>
        </w:rPr>
      </w:pPr>
      <w:r>
        <w:t>Compare observed churn rates across customer and service dimensions.</w:t>
      </w:r>
    </w:p>
    <w:p w14:paraId="124E3752" w14:textId="77777777" w:rsidR="007D5391" w:rsidRDefault="00BF3B81">
      <w:pPr>
        <w:pStyle w:val="ListBullet"/>
        <w:rPr>
          <w:rFonts w:hint="eastAsia"/>
        </w:rPr>
      </w:pPr>
      <w:r>
        <w:t>Create meaningful tenure and monthly-charge groups.</w:t>
      </w:r>
    </w:p>
    <w:p w14:paraId="5DACFF3B" w14:textId="77777777" w:rsidR="007D5391" w:rsidRDefault="00BF3B81">
      <w:pPr>
        <w:pStyle w:val="ListBullet"/>
        <w:rPr>
          <w:rFonts w:hint="eastAsia"/>
        </w:rPr>
      </w:pPr>
      <w:r>
        <w:t>Explore relationships between tenure, monthly charges, services, and churn.</w:t>
      </w:r>
    </w:p>
    <w:p w14:paraId="50C86E59" w14:textId="77777777" w:rsidR="007D5391" w:rsidRDefault="00BF3B81">
      <w:pPr>
        <w:pStyle w:val="ListBullet"/>
        <w:rPr>
          <w:rFonts w:hint="eastAsia"/>
        </w:rPr>
      </w:pPr>
      <w:r>
        <w:t>Create an analytical customer-profile segmentation.</w:t>
      </w:r>
    </w:p>
    <w:p w14:paraId="343E2619" w14:textId="77777777" w:rsidR="007D5391" w:rsidRDefault="00BF3B81">
      <w:pPr>
        <w:pStyle w:val="ListBullet"/>
        <w:rPr>
          <w:rFonts w:hint="eastAsia"/>
        </w:rPr>
      </w:pPr>
      <w:r>
        <w:t>Communicate observations while clearly separating association from causation.</w:t>
      </w:r>
    </w:p>
    <w:p w14:paraId="4F4857C9" w14:textId="77777777" w:rsidR="007D5391" w:rsidRDefault="00BF3B81">
      <w:pPr>
        <w:pStyle w:val="Heading1"/>
      </w:pPr>
      <w:r>
        <w:t>3. Week 1 Findings Used as the Storytelling Foundation</w:t>
      </w:r>
    </w:p>
    <w:tbl>
      <w:tblPr>
        <w:tblStyle w:val="TableGrid"/>
        <w:tblW w:w="10314" w:type="dxa"/>
        <w:shd w:val="clear" w:color="auto" w:fill="DAEEF3" w:themeFill="accent5" w:themeFillTint="33"/>
        <w:tblLook w:val="04A0" w:firstRow="1" w:lastRow="0" w:firstColumn="1" w:lastColumn="0" w:noHBand="0" w:noVBand="1"/>
      </w:tblPr>
      <w:tblGrid>
        <w:gridCol w:w="3438"/>
        <w:gridCol w:w="3438"/>
        <w:gridCol w:w="3438"/>
      </w:tblGrid>
      <w:tr w:rsidR="007D5391" w14:paraId="346F58FC" w14:textId="77777777" w:rsidTr="00817C7D">
        <w:trPr>
          <w:trHeight w:val="495"/>
        </w:trPr>
        <w:tc>
          <w:tcPr>
            <w:tcW w:w="3438" w:type="dxa"/>
            <w:shd w:val="clear" w:color="auto" w:fill="DAEEF3" w:themeFill="accent5" w:themeFillTint="33"/>
          </w:tcPr>
          <w:p w14:paraId="255C9788" w14:textId="77777777" w:rsidR="007D5391" w:rsidRPr="00817C7D" w:rsidRDefault="00BF3B81">
            <w:pPr>
              <w:rPr>
                <w:rFonts w:hint="eastAsia"/>
                <w:b/>
                <w:bCs/>
              </w:rPr>
            </w:pPr>
            <w:r w:rsidRPr="00817C7D">
              <w:rPr>
                <w:b/>
                <w:bCs/>
              </w:rPr>
              <w:t>Measure</w:t>
            </w:r>
          </w:p>
        </w:tc>
        <w:tc>
          <w:tcPr>
            <w:tcW w:w="3438" w:type="dxa"/>
            <w:shd w:val="clear" w:color="auto" w:fill="DAEEF3" w:themeFill="accent5" w:themeFillTint="33"/>
          </w:tcPr>
          <w:p w14:paraId="6C2E0A41" w14:textId="77777777" w:rsidR="007D5391" w:rsidRDefault="00BF3B81">
            <w:pPr>
              <w:rPr>
                <w:rFonts w:hint="eastAsia"/>
              </w:rPr>
            </w:pPr>
            <w:r>
              <w:t>Churned</w:t>
            </w:r>
          </w:p>
        </w:tc>
        <w:tc>
          <w:tcPr>
            <w:tcW w:w="3438" w:type="dxa"/>
            <w:shd w:val="clear" w:color="auto" w:fill="DAEEF3" w:themeFill="accent5" w:themeFillTint="33"/>
          </w:tcPr>
          <w:p w14:paraId="3D4C5540" w14:textId="77777777" w:rsidR="007D5391" w:rsidRDefault="00BF3B81">
            <w:pPr>
              <w:rPr>
                <w:rFonts w:hint="eastAsia"/>
              </w:rPr>
            </w:pPr>
            <w:r>
              <w:t>Not Churned</w:t>
            </w:r>
          </w:p>
        </w:tc>
      </w:tr>
      <w:tr w:rsidR="007D5391" w14:paraId="116AFA6D" w14:textId="77777777" w:rsidTr="00817C7D">
        <w:trPr>
          <w:trHeight w:val="462"/>
        </w:trPr>
        <w:tc>
          <w:tcPr>
            <w:tcW w:w="3438" w:type="dxa"/>
            <w:shd w:val="clear" w:color="auto" w:fill="DAEEF3" w:themeFill="accent5" w:themeFillTint="33"/>
          </w:tcPr>
          <w:p w14:paraId="2EB58221" w14:textId="77777777" w:rsidR="007D5391" w:rsidRPr="00817C7D" w:rsidRDefault="00BF3B81">
            <w:pPr>
              <w:rPr>
                <w:rFonts w:hint="eastAsia"/>
                <w:b/>
                <w:bCs/>
              </w:rPr>
            </w:pPr>
            <w:r w:rsidRPr="00817C7D">
              <w:rPr>
                <w:b/>
                <w:bCs/>
              </w:rPr>
              <w:t>Average tenure</w:t>
            </w:r>
          </w:p>
        </w:tc>
        <w:tc>
          <w:tcPr>
            <w:tcW w:w="3438" w:type="dxa"/>
            <w:shd w:val="clear" w:color="auto" w:fill="DAEEF3" w:themeFill="accent5" w:themeFillTint="33"/>
          </w:tcPr>
          <w:p w14:paraId="044E09E1" w14:textId="77777777" w:rsidR="007D5391" w:rsidRDefault="00BF3B81">
            <w:pPr>
              <w:rPr>
                <w:rFonts w:hint="eastAsia"/>
              </w:rPr>
            </w:pPr>
            <w:r>
              <w:t>17.98 months</w:t>
            </w:r>
          </w:p>
        </w:tc>
        <w:tc>
          <w:tcPr>
            <w:tcW w:w="3438" w:type="dxa"/>
            <w:shd w:val="clear" w:color="auto" w:fill="DAEEF3" w:themeFill="accent5" w:themeFillTint="33"/>
          </w:tcPr>
          <w:p w14:paraId="40DDA0B4" w14:textId="77777777" w:rsidR="007D5391" w:rsidRDefault="00BF3B81">
            <w:pPr>
              <w:rPr>
                <w:rFonts w:hint="eastAsia"/>
              </w:rPr>
            </w:pPr>
            <w:r>
              <w:t>37.65 months</w:t>
            </w:r>
          </w:p>
        </w:tc>
      </w:tr>
      <w:tr w:rsidR="007D5391" w14:paraId="69B2624A" w14:textId="77777777" w:rsidTr="00817C7D">
        <w:trPr>
          <w:trHeight w:val="495"/>
        </w:trPr>
        <w:tc>
          <w:tcPr>
            <w:tcW w:w="3438" w:type="dxa"/>
            <w:shd w:val="clear" w:color="auto" w:fill="DAEEF3" w:themeFill="accent5" w:themeFillTint="33"/>
          </w:tcPr>
          <w:p w14:paraId="5015E3B1" w14:textId="77777777" w:rsidR="007D5391" w:rsidRPr="00817C7D" w:rsidRDefault="00BF3B81">
            <w:pPr>
              <w:rPr>
                <w:rFonts w:hint="eastAsia"/>
                <w:b/>
                <w:bCs/>
              </w:rPr>
            </w:pPr>
            <w:r w:rsidRPr="00817C7D">
              <w:rPr>
                <w:b/>
                <w:bCs/>
              </w:rPr>
              <w:t>Average monthly charges</w:t>
            </w:r>
          </w:p>
        </w:tc>
        <w:tc>
          <w:tcPr>
            <w:tcW w:w="3438" w:type="dxa"/>
            <w:shd w:val="clear" w:color="auto" w:fill="DAEEF3" w:themeFill="accent5" w:themeFillTint="33"/>
          </w:tcPr>
          <w:p w14:paraId="72CCCAB3" w14:textId="77777777" w:rsidR="007D5391" w:rsidRDefault="00BF3B81">
            <w:pPr>
              <w:rPr>
                <w:rFonts w:hint="eastAsia"/>
              </w:rPr>
            </w:pPr>
            <w:r>
              <w:t>74.44</w:t>
            </w:r>
          </w:p>
        </w:tc>
        <w:tc>
          <w:tcPr>
            <w:tcW w:w="3438" w:type="dxa"/>
            <w:shd w:val="clear" w:color="auto" w:fill="DAEEF3" w:themeFill="accent5" w:themeFillTint="33"/>
          </w:tcPr>
          <w:p w14:paraId="35892738" w14:textId="77777777" w:rsidR="007D5391" w:rsidRDefault="00BF3B81">
            <w:pPr>
              <w:rPr>
                <w:rFonts w:hint="eastAsia"/>
              </w:rPr>
            </w:pPr>
            <w:r>
              <w:t>61.31</w:t>
            </w:r>
          </w:p>
        </w:tc>
      </w:tr>
      <w:tr w:rsidR="007D5391" w14:paraId="76E390FD" w14:textId="77777777" w:rsidTr="00817C7D">
        <w:trPr>
          <w:trHeight w:val="570"/>
        </w:trPr>
        <w:tc>
          <w:tcPr>
            <w:tcW w:w="3438" w:type="dxa"/>
            <w:shd w:val="clear" w:color="auto" w:fill="DAEEF3" w:themeFill="accent5" w:themeFillTint="33"/>
          </w:tcPr>
          <w:p w14:paraId="7B718DA4" w14:textId="77777777" w:rsidR="007D5391" w:rsidRPr="00817C7D" w:rsidRDefault="00BF3B81">
            <w:pPr>
              <w:rPr>
                <w:rFonts w:hint="eastAsia"/>
                <w:b/>
                <w:bCs/>
              </w:rPr>
            </w:pPr>
            <w:r w:rsidRPr="00817C7D">
              <w:rPr>
                <w:b/>
                <w:bCs/>
              </w:rPr>
              <w:t>Average total charges</w:t>
            </w:r>
          </w:p>
        </w:tc>
        <w:tc>
          <w:tcPr>
            <w:tcW w:w="3438" w:type="dxa"/>
            <w:shd w:val="clear" w:color="auto" w:fill="DAEEF3" w:themeFill="accent5" w:themeFillTint="33"/>
          </w:tcPr>
          <w:p w14:paraId="4E53C7D6" w14:textId="77777777" w:rsidR="007D5391" w:rsidRDefault="00BF3B81">
            <w:pPr>
              <w:rPr>
                <w:rFonts w:hint="eastAsia"/>
              </w:rPr>
            </w:pPr>
            <w:r>
              <w:t>1531.80</w:t>
            </w:r>
          </w:p>
        </w:tc>
        <w:tc>
          <w:tcPr>
            <w:tcW w:w="3438" w:type="dxa"/>
            <w:shd w:val="clear" w:color="auto" w:fill="DAEEF3" w:themeFill="accent5" w:themeFillTint="33"/>
          </w:tcPr>
          <w:p w14:paraId="7F262EEF" w14:textId="77777777" w:rsidR="007D5391" w:rsidRDefault="00BF3B81">
            <w:pPr>
              <w:rPr>
                <w:rFonts w:hint="eastAsia"/>
              </w:rPr>
            </w:pPr>
            <w:r>
              <w:t>2555.34</w:t>
            </w:r>
          </w:p>
        </w:tc>
      </w:tr>
    </w:tbl>
    <w:p w14:paraId="133E3804" w14:textId="77777777" w:rsidR="007D5391" w:rsidRDefault="00BF3B81">
      <w:pPr>
        <w:rPr>
          <w:rFonts w:hint="eastAsia"/>
        </w:rPr>
      </w:pPr>
      <w:r>
        <w:t>The overall churn distribution from Week 1 was 1,869 churned customers (26.58%) and 5,163 non-churned customers (73.42%). These values are used as context for the Week 2 visual story.</w:t>
      </w:r>
    </w:p>
    <w:p w14:paraId="54F7BFE7" w14:textId="77777777" w:rsidR="007D5391" w:rsidRDefault="00BF3B81">
      <w:pPr>
        <w:pStyle w:val="Heading1"/>
      </w:pPr>
      <w:r>
        <w:lastRenderedPageBreak/>
        <w:t>4. Core Visualization Story</w:t>
      </w:r>
    </w:p>
    <w:p w14:paraId="3F89E193" w14:textId="77777777" w:rsidR="007D5391" w:rsidRDefault="00BF3B81">
      <w:pPr>
        <w:pStyle w:val="Heading2"/>
      </w:pPr>
      <w:r>
        <w:t>Contract Type</w:t>
      </w:r>
    </w:p>
    <w:p w14:paraId="279FAA62" w14:textId="77777777" w:rsidR="007D5391" w:rsidRDefault="00BF3B81">
      <w:pPr>
        <w:rPr>
          <w:rFonts w:hint="eastAsia"/>
        </w:rPr>
      </w:pPr>
      <w:r>
        <w:t>The notebook calculates churn rate by contract. The executed Week 2 notebook reports 42.709677% for Month-to-month, 11.277174% for One year, and 2.848665% for Two year contracts. This is the clearest Week 2 example of a categorical comparison.</w:t>
      </w:r>
    </w:p>
    <w:p w14:paraId="33582D3F" w14:textId="77777777" w:rsidR="007D5391" w:rsidRDefault="00BF3B81">
      <w:pPr>
        <w:rPr>
          <w:rFonts w:hint="eastAsia"/>
        </w:rPr>
      </w:pPr>
      <w:r>
        <w:rPr>
          <w:b/>
        </w:rPr>
        <w:t xml:space="preserve">Business interpretation: </w:t>
      </w:r>
      <w:r>
        <w:t>Use the result to investigate why shorter contractual commitment is associated with higher observed churn; do not interpret the chart as proof of causation.</w:t>
      </w:r>
    </w:p>
    <w:p w14:paraId="58CC93D7" w14:textId="77777777" w:rsidR="007D5391" w:rsidRDefault="00BF3B81">
      <w:pPr>
        <w:pStyle w:val="Heading2"/>
      </w:pPr>
      <w:r>
        <w:t>Internet Service</w:t>
      </w:r>
    </w:p>
    <w:p w14:paraId="3B5083A9" w14:textId="77777777" w:rsidR="007D5391" w:rsidRDefault="00BF3B81">
      <w:pPr>
        <w:rPr>
          <w:rFonts w:hint="eastAsia"/>
        </w:rPr>
      </w:pPr>
      <w:r>
        <w:t>The completed notebook adds a churn-rate comparison for DSL, Fiber optic, and No internet service.</w:t>
      </w:r>
    </w:p>
    <w:p w14:paraId="1AD7BB18" w14:textId="77777777" w:rsidR="007D5391" w:rsidRDefault="00BF3B81">
      <w:pPr>
        <w:rPr>
          <w:rFonts w:hint="eastAsia"/>
        </w:rPr>
      </w:pPr>
      <w:r>
        <w:rPr>
          <w:b/>
        </w:rPr>
        <w:t xml:space="preserve">Business interpretation: </w:t>
      </w:r>
      <w:r>
        <w:t>Compare service groups and then consider whether the observed differences may overlap with contract, tenure, charges, or support-service differences.</w:t>
      </w:r>
    </w:p>
    <w:p w14:paraId="6131533F" w14:textId="77777777" w:rsidR="007D5391" w:rsidRDefault="00BF3B81">
      <w:pPr>
        <w:pStyle w:val="Heading2"/>
      </w:pPr>
      <w:r>
        <w:t>Payment Method</w:t>
      </w:r>
    </w:p>
    <w:p w14:paraId="3C537553" w14:textId="77777777" w:rsidR="007D5391" w:rsidRDefault="00BF3B81">
      <w:pPr>
        <w:rPr>
          <w:rFonts w:hint="eastAsia"/>
        </w:rPr>
      </w:pPr>
      <w:r>
        <w:t>The notebook ranks payment-method categories by observed churn rate.</w:t>
      </w:r>
    </w:p>
    <w:p w14:paraId="68C8B808" w14:textId="77777777" w:rsidR="007D5391" w:rsidRDefault="00BF3B81">
      <w:pPr>
        <w:rPr>
          <w:rFonts w:hint="eastAsia"/>
        </w:rPr>
      </w:pPr>
      <w:r>
        <w:rPr>
          <w:b/>
        </w:rPr>
        <w:t xml:space="preserve">Business interpretation: </w:t>
      </w:r>
      <w:r>
        <w:t>This visualization can help identify customer groups that warrant further investigation into payment experience or customer behavior.</w:t>
      </w:r>
    </w:p>
    <w:p w14:paraId="774904A9" w14:textId="77777777" w:rsidR="007D5391" w:rsidRDefault="00BF3B81">
      <w:pPr>
        <w:pStyle w:val="Heading2"/>
      </w:pPr>
      <w:r>
        <w:t>Tenure Groups</w:t>
      </w:r>
    </w:p>
    <w:p w14:paraId="4744CDF7" w14:textId="77777777" w:rsidR="007D5391" w:rsidRDefault="00BF3B81">
      <w:pPr>
        <w:rPr>
          <w:rFonts w:hint="eastAsia"/>
        </w:rPr>
      </w:pPr>
      <w:r>
        <w:t>Customers are grouped into 0–12, 13–24, 25–36, 37–48, 49–60, and 61–72 month bands.</w:t>
      </w:r>
    </w:p>
    <w:p w14:paraId="359E5F43" w14:textId="77777777" w:rsidR="007D5391" w:rsidRDefault="00BF3B81">
      <w:pPr>
        <w:rPr>
          <w:rFonts w:hint="eastAsia"/>
        </w:rPr>
      </w:pPr>
      <w:r>
        <w:rPr>
          <w:b/>
        </w:rPr>
        <w:t xml:space="preserve">Business interpretation: </w:t>
      </w:r>
      <w:r>
        <w:t>The grouping makes the Week 1 tenure difference easier to communicate visually and supports retention-focused storytelling.</w:t>
      </w:r>
    </w:p>
    <w:p w14:paraId="17B961B6" w14:textId="77777777" w:rsidR="007D5391" w:rsidRDefault="00BF3B81">
      <w:pPr>
        <w:pStyle w:val="Heading2"/>
      </w:pPr>
      <w:r>
        <w:t>Monthly Charge Groups</w:t>
      </w:r>
    </w:p>
    <w:p w14:paraId="3DE64AD3" w14:textId="77777777" w:rsidR="007D5391" w:rsidRDefault="00BF3B81">
      <w:pPr>
        <w:rPr>
          <w:rFonts w:hint="eastAsia"/>
        </w:rPr>
      </w:pPr>
      <w:r>
        <w:t>Customers are grouped into Low, Medium-Low, Medium-High, High, and Very High monthly-charge bands.</w:t>
      </w:r>
    </w:p>
    <w:p w14:paraId="46D153F9" w14:textId="77777777" w:rsidR="007D5391" w:rsidRDefault="00BF3B81">
      <w:pPr>
        <w:rPr>
          <w:rFonts w:hint="eastAsia"/>
        </w:rPr>
      </w:pPr>
      <w:r>
        <w:rPr>
          <w:b/>
        </w:rPr>
        <w:t xml:space="preserve">Business interpretation: </w:t>
      </w:r>
      <w:r>
        <w:t>The chart allows charge level to be compared consistently instead of relying only on individual numeric observations.</w:t>
      </w:r>
    </w:p>
    <w:p w14:paraId="678F50B2" w14:textId="77777777" w:rsidR="007D5391" w:rsidRDefault="00BF3B81">
      <w:pPr>
        <w:pStyle w:val="Heading2"/>
      </w:pPr>
      <w:r>
        <w:t>Tenure vs Monthly Charges</w:t>
      </w:r>
    </w:p>
    <w:p w14:paraId="0017A352" w14:textId="77777777" w:rsidR="007D5391" w:rsidRDefault="00BF3B81">
      <w:pPr>
        <w:rPr>
          <w:rFonts w:hint="eastAsia"/>
        </w:rPr>
      </w:pPr>
      <w:r>
        <w:t>The scatter plot separates churn status while displaying tenure and monthly charges together.</w:t>
      </w:r>
    </w:p>
    <w:p w14:paraId="25E12E6C" w14:textId="77777777" w:rsidR="007D5391" w:rsidRDefault="00BF3B81">
      <w:pPr>
        <w:rPr>
          <w:rFonts w:hint="eastAsia"/>
        </w:rPr>
      </w:pPr>
      <w:r>
        <w:rPr>
          <w:b/>
        </w:rPr>
        <w:t xml:space="preserve">Business interpretation: </w:t>
      </w:r>
      <w:r>
        <w:t>This provides multivariable visual context and helps identify whether churn observations cluster in particular regions.</w:t>
      </w:r>
    </w:p>
    <w:p w14:paraId="4ABEB077" w14:textId="77777777" w:rsidR="007D5391" w:rsidRDefault="00BF3B81">
      <w:pPr>
        <w:pStyle w:val="Heading2"/>
      </w:pPr>
      <w:r>
        <w:t>Analytical Customer Profiles</w:t>
      </w:r>
    </w:p>
    <w:p w14:paraId="1084946F" w14:textId="77777777" w:rsidR="007D5391" w:rsidRDefault="00BF3B81">
      <w:pPr>
        <w:rPr>
          <w:rFonts w:hint="eastAsia"/>
        </w:rPr>
      </w:pPr>
      <w:r>
        <w:t>The notebook creates rule-based profiles: High Attention, Charge Sensitive, Established Customer, and General.</w:t>
      </w:r>
    </w:p>
    <w:p w14:paraId="493F1993" w14:textId="77777777" w:rsidR="007D5391" w:rsidRDefault="00BF3B81">
      <w:r>
        <w:rPr>
          <w:b/>
        </w:rPr>
        <w:t xml:space="preserve">Business interpretation: </w:t>
      </w:r>
      <w:r>
        <w:t>These are descriptive analytical segments only; they are not validated risk scores or machine-learning predictions.</w:t>
      </w:r>
    </w:p>
    <w:p w14:paraId="3ADE543E" w14:textId="77777777" w:rsidR="00817C7D" w:rsidRDefault="00817C7D">
      <w:pPr>
        <w:rPr>
          <w:rFonts w:hint="eastAsia"/>
        </w:rPr>
      </w:pPr>
    </w:p>
    <w:p w14:paraId="14C4FF89" w14:textId="77777777" w:rsidR="007D5391" w:rsidRDefault="00BF3B81">
      <w:pPr>
        <w:pStyle w:val="Heading2"/>
      </w:pPr>
      <w:r>
        <w:lastRenderedPageBreak/>
        <w:t>Tech Support</w:t>
      </w:r>
    </w:p>
    <w:p w14:paraId="648BEA28" w14:textId="77777777" w:rsidR="007D5391" w:rsidRDefault="00BF3B81">
      <w:pPr>
        <w:rPr>
          <w:rFonts w:hint="eastAsia"/>
        </w:rPr>
      </w:pPr>
      <w:r>
        <w:t>The completed notebook calculates and plots observed churn rate by TechSupport category.</w:t>
      </w:r>
    </w:p>
    <w:p w14:paraId="66A2F3FE" w14:textId="77777777" w:rsidR="007D5391" w:rsidRDefault="00BF3B81">
      <w:pPr>
        <w:rPr>
          <w:rFonts w:hint="eastAsia"/>
        </w:rPr>
      </w:pPr>
      <w:r>
        <w:rPr>
          <w:b/>
        </w:rPr>
        <w:t xml:space="preserve">Business interpretation: </w:t>
      </w:r>
      <w:r>
        <w:t>Differences can be investigated alongside tenure, contract and internet service rather than viewed in isolation.</w:t>
      </w:r>
    </w:p>
    <w:p w14:paraId="147753F5" w14:textId="77777777" w:rsidR="007D5391" w:rsidRDefault="00BF3B81">
      <w:pPr>
        <w:pStyle w:val="Heading2"/>
      </w:pPr>
      <w:r>
        <w:t>Online Security</w:t>
      </w:r>
    </w:p>
    <w:p w14:paraId="40DC9B12" w14:textId="77777777" w:rsidR="007D5391" w:rsidRDefault="00BF3B81">
      <w:pPr>
        <w:rPr>
          <w:rFonts w:hint="eastAsia"/>
        </w:rPr>
      </w:pPr>
      <w:r>
        <w:t>The completed notebook calculates and plots observed churn rate by OnlineSecurity category.</w:t>
      </w:r>
    </w:p>
    <w:p w14:paraId="6A35DCCD" w14:textId="77777777" w:rsidR="007D5391" w:rsidRDefault="00BF3B81">
      <w:pPr>
        <w:rPr>
          <w:rFonts w:hint="eastAsia"/>
        </w:rPr>
      </w:pPr>
      <w:r>
        <w:rPr>
          <w:b/>
        </w:rPr>
        <w:t xml:space="preserve">Business interpretation: </w:t>
      </w:r>
      <w:r>
        <w:t>This adds another service dimension to the retention story.</w:t>
      </w:r>
    </w:p>
    <w:p w14:paraId="2F648774" w14:textId="77777777" w:rsidR="007D5391" w:rsidRDefault="00BF3B81">
      <w:pPr>
        <w:pStyle w:val="Heading2"/>
      </w:pPr>
      <w:r>
        <w:t>Contract × Internet Service Heatmap</w:t>
      </w:r>
    </w:p>
    <w:p w14:paraId="3EAD44F5" w14:textId="77777777" w:rsidR="007D5391" w:rsidRDefault="00BF3B81">
      <w:pPr>
        <w:rPr>
          <w:rFonts w:hint="eastAsia"/>
        </w:rPr>
      </w:pPr>
      <w:r>
        <w:t>The completed notebook calculates churn percentage for every Contract × InternetService combination.</w:t>
      </w:r>
    </w:p>
    <w:p w14:paraId="183B405A" w14:textId="77777777" w:rsidR="007D5391" w:rsidRDefault="00BF3B81">
      <w:pPr>
        <w:rPr>
          <w:rFonts w:hint="eastAsia"/>
        </w:rPr>
      </w:pPr>
      <w:r>
        <w:rPr>
          <w:b/>
        </w:rPr>
        <w:t xml:space="preserve">Business interpretation: </w:t>
      </w:r>
      <w:r>
        <w:t>The heatmap provides a two-dimensional view and can reveal combinations that deserve deeper statistical testing in Week 3.</w:t>
      </w:r>
    </w:p>
    <w:p w14:paraId="34206BE7" w14:textId="77777777" w:rsidR="007D5391" w:rsidRDefault="00BF3B81">
      <w:pPr>
        <w:pStyle w:val="Heading1"/>
      </w:pPr>
      <w:r>
        <w:t>5. Data Storytelling Framework</w:t>
      </w:r>
    </w:p>
    <w:p w14:paraId="5AD84107" w14:textId="77777777" w:rsidR="007D5391" w:rsidRDefault="00BF3B81">
      <w:pPr>
        <w:rPr>
          <w:rFonts w:hint="eastAsia"/>
        </w:rPr>
      </w:pPr>
      <w:r>
        <w:rPr>
          <w:b/>
        </w:rPr>
        <w:t xml:space="preserve">Question: </w:t>
      </w:r>
      <w:r>
        <w:t>What customer or service dimension are we trying to understand?</w:t>
      </w:r>
    </w:p>
    <w:p w14:paraId="354387A7" w14:textId="77777777" w:rsidR="007D5391" w:rsidRDefault="00BF3B81">
      <w:pPr>
        <w:rPr>
          <w:rFonts w:hint="eastAsia"/>
        </w:rPr>
      </w:pPr>
      <w:r>
        <w:rPr>
          <w:b/>
        </w:rPr>
        <w:t xml:space="preserve">Visualization: </w:t>
      </w:r>
      <w:r>
        <w:t>Select a chart that directly answers the question.</w:t>
      </w:r>
    </w:p>
    <w:p w14:paraId="7AB7F0E6" w14:textId="77777777" w:rsidR="007D5391" w:rsidRDefault="00BF3B81">
      <w:pPr>
        <w:rPr>
          <w:rFonts w:hint="eastAsia"/>
        </w:rPr>
      </w:pPr>
      <w:r>
        <w:rPr>
          <w:b/>
        </w:rPr>
        <w:t xml:space="preserve">Observation: </w:t>
      </w:r>
      <w:r>
        <w:t>Describe the visible pattern without exaggeration.</w:t>
      </w:r>
    </w:p>
    <w:p w14:paraId="7DA1A295" w14:textId="77777777" w:rsidR="007D5391" w:rsidRDefault="00BF3B81">
      <w:pPr>
        <w:rPr>
          <w:rFonts w:hint="eastAsia"/>
        </w:rPr>
      </w:pPr>
      <w:r>
        <w:rPr>
          <w:b/>
        </w:rPr>
        <w:t xml:space="preserve">Interpretation: </w:t>
      </w:r>
      <w:r>
        <w:t>Explain what the pattern may indicate within this dataset.</w:t>
      </w:r>
    </w:p>
    <w:p w14:paraId="3CE73839" w14:textId="77777777" w:rsidR="007D5391" w:rsidRDefault="00BF3B81">
      <w:pPr>
        <w:rPr>
          <w:rFonts w:hint="eastAsia"/>
        </w:rPr>
      </w:pPr>
      <w:r>
        <w:rPr>
          <w:b/>
        </w:rPr>
        <w:t xml:space="preserve">Business implication: </w:t>
      </w:r>
      <w:r>
        <w:t>Translate the observation into an area for retention investigation.</w:t>
      </w:r>
    </w:p>
    <w:p w14:paraId="0D64B38F" w14:textId="77777777" w:rsidR="007D5391" w:rsidRDefault="00BF3B81">
      <w:pPr>
        <w:pStyle w:val="Heading1"/>
      </w:pPr>
      <w:r>
        <w:t>6. Technical Implementation</w:t>
      </w:r>
    </w:p>
    <w:p w14:paraId="6B49280C" w14:textId="77777777" w:rsidR="007D5391" w:rsidRDefault="00BF3B81">
      <w:pPr>
        <w:rPr>
          <w:rFonts w:hint="eastAsia"/>
        </w:rPr>
      </w:pPr>
      <w:r>
        <w:t>The Week 2 notebook uses Pandas for grouping and aggregation, NumPy for analytical segmentation, Matplotlib and Seaborn for visualization, and Path for output-folder management. Churn rate is calculated as the percentage of records with Churn = Yes within each group.</w:t>
      </w:r>
    </w:p>
    <w:p w14:paraId="70924FEA" w14:textId="77777777" w:rsidR="007D5391" w:rsidRDefault="00BF3B81">
      <w:pPr>
        <w:rPr>
          <w:rFonts w:hint="eastAsia"/>
        </w:rPr>
      </w:pPr>
      <w:r>
        <w:t>The completed notebook also exports a reusable `week2_summary_table.csv` containing the highest- and lowest-observed churn groups for each analyzed dimension.</w:t>
      </w:r>
    </w:p>
    <w:p w14:paraId="3810B214" w14:textId="77777777" w:rsidR="007D5391" w:rsidRDefault="00BF3B81">
      <w:pPr>
        <w:pStyle w:val="Heading1"/>
      </w:pPr>
      <w:r>
        <w:t>7. Limitations</w:t>
      </w:r>
    </w:p>
    <w:p w14:paraId="738C7CA8" w14:textId="77777777" w:rsidR="007D5391" w:rsidRDefault="00BF3B81">
      <w:pPr>
        <w:pStyle w:val="ListBullet"/>
        <w:rPr>
          <w:rFonts w:hint="eastAsia"/>
        </w:rPr>
      </w:pPr>
      <w:r>
        <w:t>The analysis is observational and visual associations do not establish causality.</w:t>
      </w:r>
    </w:p>
    <w:p w14:paraId="6F973F9A" w14:textId="77777777" w:rsidR="007D5391" w:rsidRDefault="00BF3B81">
      <w:pPr>
        <w:pStyle w:val="ListBullet"/>
        <w:rPr>
          <w:rFonts w:hint="eastAsia"/>
        </w:rPr>
      </w:pPr>
      <w:r>
        <w:t>Rule-based customer profiles are descriptive categories, not validated predictive risk scores.</w:t>
      </w:r>
    </w:p>
    <w:p w14:paraId="186FD97B" w14:textId="77777777" w:rsidR="007D5391" w:rsidRDefault="00BF3B81">
      <w:pPr>
        <w:pStyle w:val="ListBullet"/>
        <w:rPr>
          <w:rFonts w:hint="eastAsia"/>
        </w:rPr>
      </w:pPr>
      <w:r>
        <w:t>Week 2 focuses on visualization; formal statistical testing is reserved for Week 3.</w:t>
      </w:r>
    </w:p>
    <w:p w14:paraId="15F6F1C4" w14:textId="77777777" w:rsidR="007D5391" w:rsidRDefault="00BF3B81">
      <w:pPr>
        <w:pStyle w:val="ListBullet"/>
        <w:rPr>
          <w:rFonts w:hint="eastAsia"/>
        </w:rPr>
      </w:pPr>
      <w:r>
        <w:t>Customer satisfaction, competitor activity, and other external factors are not included in the dataset.</w:t>
      </w:r>
    </w:p>
    <w:p w14:paraId="3DA5BAE1" w14:textId="77777777" w:rsidR="007D5391" w:rsidRDefault="00BF3B81">
      <w:pPr>
        <w:pStyle w:val="ListBullet"/>
      </w:pPr>
      <w:r>
        <w:t>Some apparent differences may be explained by interactions among multiple customer attributes.</w:t>
      </w:r>
    </w:p>
    <w:p w14:paraId="41B344BF" w14:textId="77777777" w:rsidR="00817C7D" w:rsidRDefault="00817C7D" w:rsidP="00817C7D">
      <w:pPr>
        <w:pStyle w:val="ListBullet"/>
        <w:numPr>
          <w:ilvl w:val="0"/>
          <w:numId w:val="0"/>
        </w:numPr>
        <w:ind w:left="360"/>
        <w:rPr>
          <w:rFonts w:hint="eastAsia"/>
        </w:rPr>
      </w:pPr>
    </w:p>
    <w:p w14:paraId="19FF18F1" w14:textId="77777777" w:rsidR="007D5391" w:rsidRDefault="00BF3B81">
      <w:pPr>
        <w:pStyle w:val="Heading1"/>
      </w:pPr>
      <w:r>
        <w:lastRenderedPageBreak/>
        <w:t>8. Week 2 Deliverables</w:t>
      </w:r>
    </w:p>
    <w:p w14:paraId="6A6C88CD" w14:textId="77777777" w:rsidR="007D5391" w:rsidRDefault="00BF3B81">
      <w:pPr>
        <w:rPr>
          <w:rFonts w:hint="eastAsia"/>
        </w:rPr>
      </w:pPr>
      <w:r>
        <w:t>✓</w:t>
      </w:r>
      <w:r>
        <w:t xml:space="preserve"> Completed Week 2 notebook with remaining chart code</w:t>
      </w:r>
    </w:p>
    <w:p w14:paraId="60C9039A" w14:textId="77777777" w:rsidR="007D5391" w:rsidRDefault="00BF3B81">
      <w:pPr>
        <w:rPr>
          <w:rFonts w:hint="eastAsia"/>
        </w:rPr>
      </w:pPr>
      <w:r>
        <w:t>✓</w:t>
      </w:r>
      <w:r>
        <w:t xml:space="preserve"> 10 planned visualization outputs</w:t>
      </w:r>
    </w:p>
    <w:p w14:paraId="1A9C10B3" w14:textId="77777777" w:rsidR="007D5391" w:rsidRDefault="00BF3B81">
      <w:pPr>
        <w:rPr>
          <w:rFonts w:hint="eastAsia"/>
        </w:rPr>
      </w:pPr>
      <w:r>
        <w:t>✓</w:t>
      </w:r>
      <w:r>
        <w:t xml:space="preserve"> Reusable churn-rate summary table</w:t>
      </w:r>
    </w:p>
    <w:p w14:paraId="70397020" w14:textId="77777777" w:rsidR="007D5391" w:rsidRDefault="00BF3B81">
      <w:pPr>
        <w:rPr>
          <w:rFonts w:hint="eastAsia"/>
        </w:rPr>
      </w:pPr>
      <w:r>
        <w:t>✓</w:t>
      </w:r>
      <w:r>
        <w:t xml:space="preserve"> Advanced data storytelling framework</w:t>
      </w:r>
    </w:p>
    <w:p w14:paraId="668F784E" w14:textId="77777777" w:rsidR="007D5391" w:rsidRDefault="00BF3B81">
      <w:pPr>
        <w:rPr>
          <w:rFonts w:hint="eastAsia"/>
        </w:rPr>
      </w:pPr>
      <w:r>
        <w:t>✓</w:t>
      </w:r>
      <w:r>
        <w:t xml:space="preserve"> Business interpretation and limitations</w:t>
      </w:r>
    </w:p>
    <w:p w14:paraId="29072BC4" w14:textId="77777777" w:rsidR="007D5391" w:rsidRDefault="00BF3B81">
      <w:pPr>
        <w:rPr>
          <w:rFonts w:hint="eastAsia"/>
        </w:rPr>
      </w:pPr>
      <w:r>
        <w:t>✓</w:t>
      </w:r>
      <w:r>
        <w:t xml:space="preserve"> Professional Week 2 report</w:t>
      </w:r>
    </w:p>
    <w:p w14:paraId="1326D978" w14:textId="77777777" w:rsidR="007D5391" w:rsidRDefault="00BF3B81">
      <w:pPr>
        <w:pStyle w:val="Heading1"/>
      </w:pPr>
      <w:r>
        <w:t>9. Conclusion</w:t>
      </w:r>
    </w:p>
    <w:p w14:paraId="54718D36" w14:textId="77777777" w:rsidR="007D5391" w:rsidRDefault="00BF3B81">
      <w:pPr>
        <w:rPr>
          <w:rFonts w:hint="eastAsia"/>
        </w:rPr>
      </w:pPr>
      <w:r>
        <w:t>Week 2 converts the Week 1 customer-churn findings into a structured visual narrative. The project now compares churn across contract, service, payment, tenure, charges, support, and security dimensions and adds a two-dimensional heatmap for deeper exploration. The next stage is Week 3, where selected visual patterns will be evaluated using statistical analysis and hypothesis testing.</w:t>
      </w:r>
    </w:p>
    <w:sectPr w:rsidR="007D5391" w:rsidSect="009B268C">
      <w:footerReference w:type="default" r:id="rId8"/>
      <w:pgSz w:w="12240" w:h="15840"/>
      <w:pgMar w:top="936" w:right="1080" w:bottom="936" w:left="1080" w:header="0" w:footer="0"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6BA78E" w14:textId="77777777" w:rsidR="00BF3B81" w:rsidRDefault="00BF3B81" w:rsidP="00426272">
      <w:pPr>
        <w:spacing w:after="0" w:line="240" w:lineRule="auto"/>
      </w:pPr>
      <w:r>
        <w:separator/>
      </w:r>
    </w:p>
  </w:endnote>
  <w:endnote w:type="continuationSeparator" w:id="0">
    <w:p w14:paraId="77E71287" w14:textId="77777777" w:rsidR="00BF3B81" w:rsidRDefault="00BF3B81" w:rsidP="004262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25748342"/>
      <w:docPartObj>
        <w:docPartGallery w:val="Page Numbers (Bottom of Page)"/>
        <w:docPartUnique/>
      </w:docPartObj>
    </w:sdtPr>
    <w:sdtEndPr>
      <w:rPr>
        <w:color w:val="7F7F7F" w:themeColor="background1" w:themeShade="7F"/>
        <w:spacing w:val="60"/>
      </w:rPr>
    </w:sdtEndPr>
    <w:sdtContent>
      <w:p w14:paraId="47515EA2" w14:textId="1E12A6B3" w:rsidR="009B268C" w:rsidRDefault="009B268C">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001C75DE" w14:textId="77777777" w:rsidR="00426272" w:rsidRDefault="0042627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64AE95" w14:textId="77777777" w:rsidR="00BF3B81" w:rsidRDefault="00BF3B81" w:rsidP="00426272">
      <w:pPr>
        <w:spacing w:after="0" w:line="240" w:lineRule="auto"/>
      </w:pPr>
      <w:r>
        <w:separator/>
      </w:r>
    </w:p>
  </w:footnote>
  <w:footnote w:type="continuationSeparator" w:id="0">
    <w:p w14:paraId="56137654" w14:textId="77777777" w:rsidR="00BF3B81" w:rsidRDefault="00BF3B81" w:rsidP="0042627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12290316">
    <w:abstractNumId w:val="8"/>
  </w:num>
  <w:num w:numId="2" w16cid:durableId="1761639189">
    <w:abstractNumId w:val="6"/>
  </w:num>
  <w:num w:numId="3" w16cid:durableId="174461881">
    <w:abstractNumId w:val="5"/>
  </w:num>
  <w:num w:numId="4" w16cid:durableId="200631119">
    <w:abstractNumId w:val="4"/>
  </w:num>
  <w:num w:numId="5" w16cid:durableId="1544058233">
    <w:abstractNumId w:val="7"/>
  </w:num>
  <w:num w:numId="6" w16cid:durableId="1369448923">
    <w:abstractNumId w:val="3"/>
  </w:num>
  <w:num w:numId="7" w16cid:durableId="2125538839">
    <w:abstractNumId w:val="2"/>
  </w:num>
  <w:num w:numId="8" w16cid:durableId="2123722867">
    <w:abstractNumId w:val="1"/>
  </w:num>
  <w:num w:numId="9" w16cid:durableId="16145505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26272"/>
    <w:rsid w:val="007D5391"/>
    <w:rsid w:val="00817C7D"/>
    <w:rsid w:val="009B268C"/>
    <w:rsid w:val="00AA1D8D"/>
    <w:rsid w:val="00B47730"/>
    <w:rsid w:val="00BF3B81"/>
    <w:rsid w:val="00CB0664"/>
    <w:rsid w:val="00DB4AD9"/>
    <w:rsid w:val="00E840A8"/>
    <w:rsid w:val="00FA573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6B9F7E54-48EF-4018-B756-6814871825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4</Pages>
  <Words>957</Words>
  <Characters>5461</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Bhagyashree Pashte</cp:lastModifiedBy>
  <cp:revision>6</cp:revision>
  <dcterms:created xsi:type="dcterms:W3CDTF">2013-12-23T23:15:00Z</dcterms:created>
  <dcterms:modified xsi:type="dcterms:W3CDTF">2026-10-03T05:52:00Z</dcterms:modified>
  <cp:category/>
</cp:coreProperties>
</file>