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F1DD" w:themeColor="accent3" w:themeTint="33"/>
  <w:body>
    <w:p w14:paraId="69FAA447" w14:textId="77777777" w:rsidR="0024335E" w:rsidRDefault="00000000">
      <w:pPr>
        <w:jc w:val="center"/>
        <w:rPr>
          <w:rFonts w:hint="eastAsia"/>
        </w:rPr>
      </w:pPr>
      <w:r w:rsidRPr="00FB337A">
        <w:rPr>
          <w:b/>
          <w:sz w:val="52"/>
          <w:highlight w:val="yellow"/>
        </w:rPr>
        <w:t>CHURNLENS AI</w:t>
      </w:r>
    </w:p>
    <w:p w14:paraId="4F7D25A3" w14:textId="77777777" w:rsidR="0024335E" w:rsidRDefault="00000000">
      <w:pPr>
        <w:jc w:val="center"/>
        <w:rPr>
          <w:rFonts w:hint="eastAsia"/>
        </w:rPr>
      </w:pPr>
      <w:r>
        <w:rPr>
          <w:b/>
          <w:sz w:val="36"/>
        </w:rPr>
        <w:t>Week 3 — Statistical Analysis &amp; Hypothesis Testing</w:t>
      </w:r>
    </w:p>
    <w:p w14:paraId="0F19C2FF" w14:textId="77777777" w:rsidR="0024335E" w:rsidRDefault="00000000">
      <w:pPr>
        <w:jc w:val="center"/>
        <w:rPr>
          <w:rFonts w:hint="eastAsia"/>
        </w:rPr>
      </w:pPr>
      <w:r>
        <w:rPr>
          <w:i/>
        </w:rPr>
        <w:t>Customer Retention Intelligence &amp; Churn Prediction</w:t>
      </w:r>
    </w:p>
    <w:p w14:paraId="6A5A6FE0" w14:textId="77777777" w:rsidR="0024335E" w:rsidRDefault="00000000">
      <w:pPr>
        <w:jc w:val="center"/>
        <w:rPr>
          <w:rFonts w:hint="eastAsia"/>
        </w:rPr>
      </w:pPr>
      <w:r>
        <w:t>YuvaIntern — Virtual Data Science with Python Apprentice Intern</w:t>
      </w:r>
    </w:p>
    <w:p w14:paraId="2A82C9E8" w14:textId="77777777" w:rsidR="0024335E" w:rsidRDefault="00000000">
      <w:pPr>
        <w:jc w:val="center"/>
        <w:rPr>
          <w:rFonts w:hint="eastAsia"/>
        </w:rPr>
      </w:pPr>
      <w:r>
        <w:t>Dataset: IBM Telco Customer Churn Dataset</w:t>
      </w:r>
    </w:p>
    <w:p w14:paraId="76888179" w14:textId="77777777" w:rsidR="0024335E" w:rsidRDefault="00000000">
      <w:pPr>
        <w:jc w:val="center"/>
        <w:rPr>
          <w:rFonts w:hint="eastAsia"/>
        </w:rPr>
      </w:pPr>
      <w:r>
        <w:t>Significance Level: α = 0.05</w:t>
      </w:r>
    </w:p>
    <w:p w14:paraId="6DDC0800" w14:textId="77777777" w:rsidR="0024335E" w:rsidRDefault="00000000">
      <w:pPr>
        <w:pStyle w:val="Heading1"/>
      </w:pPr>
      <w:r>
        <w:t>1. Executive Summary</w:t>
      </w:r>
    </w:p>
    <w:p w14:paraId="2D2BCA62" w14:textId="77777777" w:rsidR="0024335E" w:rsidRDefault="00000000">
      <w:pPr>
        <w:rPr>
          <w:rFonts w:hint="eastAsia"/>
        </w:rPr>
      </w:pPr>
      <w:r>
        <w:t>Week 3 focused on statistically validating customer churn patterns identified during Week 1 exploratory analysis and Week 2 visualization. Chi-Square Tests of Independence were used for categorical variables and Mann–Whitney U Tests for numerical variables. Effect sizes were calculated to complement p-values.</w:t>
      </w:r>
    </w:p>
    <w:p w14:paraId="03FFD81D" w14:textId="77777777" w:rsidR="0024335E" w:rsidRDefault="00000000">
      <w:pPr>
        <w:rPr>
          <w:rFonts w:hint="eastAsia"/>
        </w:rPr>
      </w:pPr>
      <w:r>
        <w:t>The analysis covered Contract Type, Internet Service, Payment Method, Tenure, and Monthly Charges. The confirmed results show statistically significant relationships or differences for the examined dimensions. Payment Method showed χ² = 645.4299 and Cramér's V = 0.3023. Tenure and Monthly Charges also showed statistically significant differences between churned and non-churned customers.</w:t>
      </w:r>
    </w:p>
    <w:p w14:paraId="09128118" w14:textId="77777777" w:rsidR="0024335E" w:rsidRDefault="00000000">
      <w:pPr>
        <w:pStyle w:val="Heading1"/>
      </w:pPr>
      <w:r>
        <w:t>2. Objectives</w:t>
      </w:r>
    </w:p>
    <w:p w14:paraId="25EF1DCF" w14:textId="77777777" w:rsidR="0024335E" w:rsidRDefault="00000000">
      <w:pPr>
        <w:pStyle w:val="ListBullet"/>
        <w:rPr>
          <w:rFonts w:hint="eastAsia"/>
        </w:rPr>
      </w:pPr>
      <w:r>
        <w:t>Validate churn patterns using formal hypothesis tests.</w:t>
      </w:r>
    </w:p>
    <w:p w14:paraId="6157487E" w14:textId="77777777" w:rsidR="0024335E" w:rsidRDefault="00000000">
      <w:pPr>
        <w:pStyle w:val="ListBullet"/>
        <w:rPr>
          <w:rFonts w:hint="eastAsia"/>
        </w:rPr>
      </w:pPr>
      <w:r>
        <w:t>Test categorical variables for association with churn.</w:t>
      </w:r>
    </w:p>
    <w:p w14:paraId="6C84EFC0" w14:textId="77777777" w:rsidR="0024335E" w:rsidRDefault="00000000">
      <w:pPr>
        <w:pStyle w:val="ListBullet"/>
        <w:rPr>
          <w:rFonts w:hint="eastAsia"/>
        </w:rPr>
      </w:pPr>
      <w:r>
        <w:t>Compare numerical customer attributes between churn groups.</w:t>
      </w:r>
    </w:p>
    <w:p w14:paraId="42EE7AC2" w14:textId="77777777" w:rsidR="0024335E" w:rsidRDefault="00000000">
      <w:pPr>
        <w:pStyle w:val="ListBullet"/>
        <w:rPr>
          <w:rFonts w:hint="eastAsia"/>
        </w:rPr>
      </w:pPr>
      <w:r>
        <w:t>Measure effect size in addition to statistical significance.</w:t>
      </w:r>
    </w:p>
    <w:p w14:paraId="51E82E6E" w14:textId="77777777" w:rsidR="0024335E" w:rsidRDefault="00000000">
      <w:pPr>
        <w:pStyle w:val="ListBullet"/>
        <w:rPr>
          <w:rFonts w:hint="eastAsia"/>
        </w:rPr>
      </w:pPr>
      <w:r>
        <w:t>Translate statistical findings into retention insights.</w:t>
      </w:r>
    </w:p>
    <w:p w14:paraId="534A1684" w14:textId="77777777" w:rsidR="0024335E" w:rsidRDefault="00000000">
      <w:pPr>
        <w:pStyle w:val="ListBullet"/>
        <w:rPr>
          <w:rFonts w:hint="eastAsia"/>
        </w:rPr>
      </w:pPr>
      <w:r>
        <w:t>Prepare a foundation for Week 4 machine-learning modeling.</w:t>
      </w:r>
    </w:p>
    <w:p w14:paraId="5C4E96A6" w14:textId="77777777" w:rsidR="0024335E" w:rsidRDefault="00000000">
      <w:pPr>
        <w:pStyle w:val="Heading1"/>
      </w:pPr>
      <w:r>
        <w:t>3. Dataset</w:t>
      </w:r>
    </w:p>
    <w:p w14:paraId="4DF65032" w14:textId="77777777" w:rsidR="0024335E" w:rsidRDefault="00000000">
      <w:pPr>
        <w:rPr>
          <w:rFonts w:hint="eastAsia"/>
        </w:rPr>
      </w:pPr>
      <w:r>
        <w:t>The cleaned IBM Telco Customer Churn dataset contains 7,032 customer records and 21 variables. There are 5,163 non-churned customers (73.42%) and 1,869 churned customers (26.58%).</w:t>
      </w:r>
    </w:p>
    <w:p w14:paraId="7D6F6B99" w14:textId="77777777" w:rsidR="0024335E" w:rsidRDefault="00000000">
      <w:pPr>
        <w:pStyle w:val="Heading1"/>
      </w:pPr>
      <w:r>
        <w:t>4. Statistical Methodology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335E" w14:paraId="595325D8" w14:textId="77777777">
        <w:trPr>
          <w:jc w:val="center"/>
        </w:trPr>
        <w:tc>
          <w:tcPr>
            <w:tcW w:w="2160" w:type="dxa"/>
          </w:tcPr>
          <w:p w14:paraId="367FB9D4" w14:textId="77777777" w:rsidR="0024335E" w:rsidRDefault="00000000">
            <w:pPr>
              <w:rPr>
                <w:rFonts w:hint="eastAsia"/>
              </w:rPr>
            </w:pPr>
            <w:r>
              <w:t>Variables</w:t>
            </w:r>
          </w:p>
        </w:tc>
        <w:tc>
          <w:tcPr>
            <w:tcW w:w="2160" w:type="dxa"/>
          </w:tcPr>
          <w:p w14:paraId="5D08CD8F" w14:textId="77777777" w:rsidR="0024335E" w:rsidRDefault="00000000">
            <w:pPr>
              <w:rPr>
                <w:rFonts w:hint="eastAsia"/>
              </w:rPr>
            </w:pPr>
            <w:r>
              <w:t>Test</w:t>
            </w:r>
          </w:p>
        </w:tc>
        <w:tc>
          <w:tcPr>
            <w:tcW w:w="2160" w:type="dxa"/>
          </w:tcPr>
          <w:p w14:paraId="35C2D518" w14:textId="77777777" w:rsidR="0024335E" w:rsidRDefault="00000000">
            <w:pPr>
              <w:rPr>
                <w:rFonts w:hint="eastAsia"/>
              </w:rPr>
            </w:pPr>
            <w:r>
              <w:t>Effect Size</w:t>
            </w:r>
          </w:p>
        </w:tc>
        <w:tc>
          <w:tcPr>
            <w:tcW w:w="2160" w:type="dxa"/>
          </w:tcPr>
          <w:p w14:paraId="0E75D403" w14:textId="77777777" w:rsidR="0024335E" w:rsidRDefault="00000000">
            <w:pPr>
              <w:rPr>
                <w:rFonts w:hint="eastAsia"/>
              </w:rPr>
            </w:pPr>
            <w:r>
              <w:t>Decision Rule</w:t>
            </w:r>
          </w:p>
        </w:tc>
      </w:tr>
      <w:tr w:rsidR="0024335E" w14:paraId="11006224" w14:textId="77777777">
        <w:trPr>
          <w:jc w:val="center"/>
        </w:trPr>
        <w:tc>
          <w:tcPr>
            <w:tcW w:w="2160" w:type="dxa"/>
          </w:tcPr>
          <w:p w14:paraId="65DFB67E" w14:textId="77777777" w:rsidR="0024335E" w:rsidRDefault="00000000">
            <w:pPr>
              <w:rPr>
                <w:rFonts w:hint="eastAsia"/>
              </w:rPr>
            </w:pPr>
            <w:r>
              <w:t>Contract vs Churn</w:t>
            </w:r>
          </w:p>
        </w:tc>
        <w:tc>
          <w:tcPr>
            <w:tcW w:w="2160" w:type="dxa"/>
          </w:tcPr>
          <w:p w14:paraId="5268F69C" w14:textId="77777777" w:rsidR="0024335E" w:rsidRDefault="00000000">
            <w:pPr>
              <w:rPr>
                <w:rFonts w:hint="eastAsia"/>
              </w:rPr>
            </w:pPr>
            <w:r>
              <w:t>Chi-Square</w:t>
            </w:r>
          </w:p>
        </w:tc>
        <w:tc>
          <w:tcPr>
            <w:tcW w:w="2160" w:type="dxa"/>
          </w:tcPr>
          <w:p w14:paraId="1FC99BA9" w14:textId="77777777" w:rsidR="0024335E" w:rsidRDefault="00000000">
            <w:pPr>
              <w:rPr>
                <w:rFonts w:hint="eastAsia"/>
              </w:rPr>
            </w:pPr>
            <w:r>
              <w:t>Cramér's V</w:t>
            </w:r>
          </w:p>
        </w:tc>
        <w:tc>
          <w:tcPr>
            <w:tcW w:w="2160" w:type="dxa"/>
          </w:tcPr>
          <w:p w14:paraId="146565D5" w14:textId="77777777" w:rsidR="0024335E" w:rsidRDefault="00000000">
            <w:pPr>
              <w:rPr>
                <w:rFonts w:hint="eastAsia"/>
              </w:rPr>
            </w:pPr>
            <w:r>
              <w:t>p &lt; 0.05 → Reject H₀</w:t>
            </w:r>
          </w:p>
        </w:tc>
      </w:tr>
      <w:tr w:rsidR="0024335E" w14:paraId="389C7BEC" w14:textId="77777777">
        <w:trPr>
          <w:jc w:val="center"/>
        </w:trPr>
        <w:tc>
          <w:tcPr>
            <w:tcW w:w="2160" w:type="dxa"/>
          </w:tcPr>
          <w:p w14:paraId="56C1B6AD" w14:textId="77777777" w:rsidR="0024335E" w:rsidRDefault="00000000">
            <w:pPr>
              <w:rPr>
                <w:rFonts w:hint="eastAsia"/>
              </w:rPr>
            </w:pPr>
            <w:r>
              <w:t>Internet Service vs Churn</w:t>
            </w:r>
          </w:p>
        </w:tc>
        <w:tc>
          <w:tcPr>
            <w:tcW w:w="2160" w:type="dxa"/>
          </w:tcPr>
          <w:p w14:paraId="6089DC25" w14:textId="77777777" w:rsidR="0024335E" w:rsidRDefault="00000000">
            <w:pPr>
              <w:rPr>
                <w:rFonts w:hint="eastAsia"/>
              </w:rPr>
            </w:pPr>
            <w:r>
              <w:t>Chi-Square</w:t>
            </w:r>
          </w:p>
        </w:tc>
        <w:tc>
          <w:tcPr>
            <w:tcW w:w="2160" w:type="dxa"/>
          </w:tcPr>
          <w:p w14:paraId="23CF545B" w14:textId="77777777" w:rsidR="0024335E" w:rsidRDefault="00000000">
            <w:pPr>
              <w:rPr>
                <w:rFonts w:hint="eastAsia"/>
              </w:rPr>
            </w:pPr>
            <w:r>
              <w:t>Cramér's V</w:t>
            </w:r>
          </w:p>
        </w:tc>
        <w:tc>
          <w:tcPr>
            <w:tcW w:w="2160" w:type="dxa"/>
          </w:tcPr>
          <w:p w14:paraId="63E3E386" w14:textId="77777777" w:rsidR="0024335E" w:rsidRDefault="00000000">
            <w:pPr>
              <w:rPr>
                <w:rFonts w:hint="eastAsia"/>
              </w:rPr>
            </w:pPr>
            <w:r>
              <w:t>p &lt; 0.05 → Reject H₀</w:t>
            </w:r>
          </w:p>
        </w:tc>
      </w:tr>
      <w:tr w:rsidR="0024335E" w14:paraId="7589C228" w14:textId="77777777">
        <w:trPr>
          <w:jc w:val="center"/>
        </w:trPr>
        <w:tc>
          <w:tcPr>
            <w:tcW w:w="2160" w:type="dxa"/>
          </w:tcPr>
          <w:p w14:paraId="664AEA51" w14:textId="77777777" w:rsidR="0024335E" w:rsidRDefault="00000000">
            <w:pPr>
              <w:rPr>
                <w:rFonts w:hint="eastAsia"/>
              </w:rPr>
            </w:pPr>
            <w:r>
              <w:t>Payment Method vs Churn</w:t>
            </w:r>
          </w:p>
        </w:tc>
        <w:tc>
          <w:tcPr>
            <w:tcW w:w="2160" w:type="dxa"/>
          </w:tcPr>
          <w:p w14:paraId="630C209B" w14:textId="77777777" w:rsidR="0024335E" w:rsidRDefault="00000000">
            <w:pPr>
              <w:rPr>
                <w:rFonts w:hint="eastAsia"/>
              </w:rPr>
            </w:pPr>
            <w:r>
              <w:t>Chi-Square</w:t>
            </w:r>
          </w:p>
        </w:tc>
        <w:tc>
          <w:tcPr>
            <w:tcW w:w="2160" w:type="dxa"/>
          </w:tcPr>
          <w:p w14:paraId="634BCBD3" w14:textId="77777777" w:rsidR="0024335E" w:rsidRDefault="00000000">
            <w:pPr>
              <w:rPr>
                <w:rFonts w:hint="eastAsia"/>
              </w:rPr>
            </w:pPr>
            <w:r>
              <w:t>Cramér's V</w:t>
            </w:r>
          </w:p>
        </w:tc>
        <w:tc>
          <w:tcPr>
            <w:tcW w:w="2160" w:type="dxa"/>
          </w:tcPr>
          <w:p w14:paraId="6DD73E9B" w14:textId="77777777" w:rsidR="0024335E" w:rsidRDefault="00000000">
            <w:pPr>
              <w:rPr>
                <w:rFonts w:hint="eastAsia"/>
              </w:rPr>
            </w:pPr>
            <w:r>
              <w:t>p &lt; 0.05 → Reject H₀</w:t>
            </w:r>
          </w:p>
        </w:tc>
      </w:tr>
      <w:tr w:rsidR="0024335E" w14:paraId="360449CC" w14:textId="77777777">
        <w:trPr>
          <w:jc w:val="center"/>
        </w:trPr>
        <w:tc>
          <w:tcPr>
            <w:tcW w:w="2160" w:type="dxa"/>
          </w:tcPr>
          <w:p w14:paraId="40EA707E" w14:textId="77777777" w:rsidR="0024335E" w:rsidRDefault="00000000">
            <w:pPr>
              <w:rPr>
                <w:rFonts w:hint="eastAsia"/>
              </w:rPr>
            </w:pPr>
            <w:r>
              <w:t>Tenure vs Churn</w:t>
            </w:r>
          </w:p>
        </w:tc>
        <w:tc>
          <w:tcPr>
            <w:tcW w:w="2160" w:type="dxa"/>
          </w:tcPr>
          <w:p w14:paraId="7CEA6444" w14:textId="77777777" w:rsidR="0024335E" w:rsidRDefault="00000000">
            <w:pPr>
              <w:rPr>
                <w:rFonts w:hint="eastAsia"/>
              </w:rPr>
            </w:pPr>
            <w:r>
              <w:t>Mann–Whitney U</w:t>
            </w:r>
          </w:p>
        </w:tc>
        <w:tc>
          <w:tcPr>
            <w:tcW w:w="2160" w:type="dxa"/>
          </w:tcPr>
          <w:p w14:paraId="47158461" w14:textId="77777777" w:rsidR="0024335E" w:rsidRDefault="00000000">
            <w:pPr>
              <w:rPr>
                <w:rFonts w:hint="eastAsia"/>
              </w:rPr>
            </w:pPr>
            <w:r>
              <w:t>Rank-Biserial</w:t>
            </w:r>
          </w:p>
        </w:tc>
        <w:tc>
          <w:tcPr>
            <w:tcW w:w="2160" w:type="dxa"/>
          </w:tcPr>
          <w:p w14:paraId="1F846ADC" w14:textId="77777777" w:rsidR="0024335E" w:rsidRDefault="00000000">
            <w:pPr>
              <w:rPr>
                <w:rFonts w:hint="eastAsia"/>
              </w:rPr>
            </w:pPr>
            <w:r>
              <w:t>p &lt; 0.05 → Reject H₀</w:t>
            </w:r>
          </w:p>
        </w:tc>
      </w:tr>
      <w:tr w:rsidR="0024335E" w14:paraId="614CD1D8" w14:textId="77777777">
        <w:trPr>
          <w:jc w:val="center"/>
        </w:trPr>
        <w:tc>
          <w:tcPr>
            <w:tcW w:w="2160" w:type="dxa"/>
          </w:tcPr>
          <w:p w14:paraId="5D8FE2B6" w14:textId="77777777" w:rsidR="0024335E" w:rsidRDefault="00000000">
            <w:pPr>
              <w:rPr>
                <w:rFonts w:hint="eastAsia"/>
              </w:rPr>
            </w:pPr>
            <w:r>
              <w:t>Monthly Charges vs Churn</w:t>
            </w:r>
          </w:p>
        </w:tc>
        <w:tc>
          <w:tcPr>
            <w:tcW w:w="2160" w:type="dxa"/>
          </w:tcPr>
          <w:p w14:paraId="73F94485" w14:textId="77777777" w:rsidR="0024335E" w:rsidRDefault="00000000">
            <w:pPr>
              <w:rPr>
                <w:rFonts w:hint="eastAsia"/>
              </w:rPr>
            </w:pPr>
            <w:r>
              <w:t>Mann–Whitney U</w:t>
            </w:r>
          </w:p>
        </w:tc>
        <w:tc>
          <w:tcPr>
            <w:tcW w:w="2160" w:type="dxa"/>
          </w:tcPr>
          <w:p w14:paraId="3CC68B71" w14:textId="77777777" w:rsidR="0024335E" w:rsidRDefault="00000000">
            <w:pPr>
              <w:rPr>
                <w:rFonts w:hint="eastAsia"/>
              </w:rPr>
            </w:pPr>
            <w:r>
              <w:t>Rank-Biserial</w:t>
            </w:r>
          </w:p>
        </w:tc>
        <w:tc>
          <w:tcPr>
            <w:tcW w:w="2160" w:type="dxa"/>
          </w:tcPr>
          <w:p w14:paraId="27E041E6" w14:textId="77777777" w:rsidR="0024335E" w:rsidRDefault="00000000">
            <w:pPr>
              <w:rPr>
                <w:rFonts w:hint="eastAsia"/>
              </w:rPr>
            </w:pPr>
            <w:r>
              <w:t>p &lt; 0.05 → Reject H₀</w:t>
            </w:r>
          </w:p>
        </w:tc>
      </w:tr>
    </w:tbl>
    <w:p w14:paraId="5B1B3BA3" w14:textId="77777777" w:rsidR="0024335E" w:rsidRDefault="00000000">
      <w:pPr>
        <w:pStyle w:val="Heading1"/>
      </w:pPr>
      <w:r>
        <w:lastRenderedPageBreak/>
        <w:t>5. Confirmed Statistical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24335E" w14:paraId="3BFC8AFD" w14:textId="77777777">
        <w:tc>
          <w:tcPr>
            <w:tcW w:w="1728" w:type="dxa"/>
          </w:tcPr>
          <w:p w14:paraId="3ECBB2D5" w14:textId="77777777" w:rsidR="0024335E" w:rsidRDefault="00000000">
            <w:pPr>
              <w:rPr>
                <w:rFonts w:hint="eastAsia"/>
              </w:rPr>
            </w:pPr>
            <w:r>
              <w:t>Test</w:t>
            </w:r>
          </w:p>
        </w:tc>
        <w:tc>
          <w:tcPr>
            <w:tcW w:w="1728" w:type="dxa"/>
          </w:tcPr>
          <w:p w14:paraId="27986E52" w14:textId="77777777" w:rsidR="0024335E" w:rsidRDefault="00000000">
            <w:pPr>
              <w:rPr>
                <w:rFonts w:hint="eastAsia"/>
              </w:rPr>
            </w:pPr>
            <w:r>
              <w:t>Variables</w:t>
            </w:r>
          </w:p>
        </w:tc>
        <w:tc>
          <w:tcPr>
            <w:tcW w:w="1728" w:type="dxa"/>
          </w:tcPr>
          <w:p w14:paraId="1DCD0A92" w14:textId="77777777" w:rsidR="0024335E" w:rsidRDefault="00000000">
            <w:pPr>
              <w:rPr>
                <w:rFonts w:hint="eastAsia"/>
              </w:rPr>
            </w:pPr>
            <w:r>
              <w:t>Statistic</w:t>
            </w:r>
          </w:p>
        </w:tc>
        <w:tc>
          <w:tcPr>
            <w:tcW w:w="1728" w:type="dxa"/>
          </w:tcPr>
          <w:p w14:paraId="5E1B4127" w14:textId="77777777" w:rsidR="0024335E" w:rsidRDefault="00000000">
            <w:pPr>
              <w:rPr>
                <w:rFonts w:hint="eastAsia"/>
              </w:rPr>
            </w:pPr>
            <w:r>
              <w:t>p-value / Effect</w:t>
            </w:r>
          </w:p>
        </w:tc>
        <w:tc>
          <w:tcPr>
            <w:tcW w:w="1728" w:type="dxa"/>
          </w:tcPr>
          <w:p w14:paraId="569F6542" w14:textId="77777777" w:rsidR="0024335E" w:rsidRDefault="00000000">
            <w:pPr>
              <w:rPr>
                <w:rFonts w:hint="eastAsia"/>
              </w:rPr>
            </w:pPr>
            <w:r>
              <w:t>Decision</w:t>
            </w:r>
          </w:p>
        </w:tc>
      </w:tr>
      <w:tr w:rsidR="0024335E" w14:paraId="0692E4BC" w14:textId="77777777">
        <w:tc>
          <w:tcPr>
            <w:tcW w:w="1728" w:type="dxa"/>
          </w:tcPr>
          <w:p w14:paraId="626CE8F8" w14:textId="77777777" w:rsidR="0024335E" w:rsidRDefault="00000000">
            <w:pPr>
              <w:rPr>
                <w:rFonts w:hint="eastAsia"/>
              </w:rPr>
            </w:pPr>
            <w:r>
              <w:t>Chi-Square</w:t>
            </w:r>
          </w:p>
        </w:tc>
        <w:tc>
          <w:tcPr>
            <w:tcW w:w="1728" w:type="dxa"/>
          </w:tcPr>
          <w:p w14:paraId="073262DD" w14:textId="77777777" w:rsidR="0024335E" w:rsidRDefault="00000000">
            <w:pPr>
              <w:rPr>
                <w:rFonts w:hint="eastAsia"/>
              </w:rPr>
            </w:pPr>
            <w:r>
              <w:t>Contract vs Churn</w:t>
            </w:r>
          </w:p>
        </w:tc>
        <w:tc>
          <w:tcPr>
            <w:tcW w:w="1728" w:type="dxa"/>
          </w:tcPr>
          <w:p w14:paraId="330779EC" w14:textId="77777777" w:rsidR="0024335E" w:rsidRDefault="00000000">
            <w:pPr>
              <w:rPr>
                <w:rFonts w:hint="eastAsia"/>
              </w:rPr>
            </w:pPr>
            <w:r>
              <w:t>See executed notebook</w:t>
            </w:r>
          </w:p>
        </w:tc>
        <w:tc>
          <w:tcPr>
            <w:tcW w:w="1728" w:type="dxa"/>
          </w:tcPr>
          <w:p w14:paraId="40DD3112" w14:textId="77777777" w:rsidR="0024335E" w:rsidRDefault="00000000">
            <w:pPr>
              <w:rPr>
                <w:rFonts w:hint="eastAsia"/>
              </w:rPr>
            </w:pPr>
            <w:r>
              <w:t>Significant</w:t>
            </w:r>
          </w:p>
        </w:tc>
        <w:tc>
          <w:tcPr>
            <w:tcW w:w="1728" w:type="dxa"/>
          </w:tcPr>
          <w:p w14:paraId="00B04D52" w14:textId="77777777" w:rsidR="0024335E" w:rsidRDefault="00000000">
            <w:pPr>
              <w:rPr>
                <w:rFonts w:hint="eastAsia"/>
              </w:rPr>
            </w:pPr>
            <w:r>
              <w:t>Reject H₀</w:t>
            </w:r>
          </w:p>
        </w:tc>
      </w:tr>
      <w:tr w:rsidR="0024335E" w14:paraId="2AB27F6F" w14:textId="77777777">
        <w:tc>
          <w:tcPr>
            <w:tcW w:w="1728" w:type="dxa"/>
          </w:tcPr>
          <w:p w14:paraId="4C5DBEA3" w14:textId="77777777" w:rsidR="0024335E" w:rsidRDefault="00000000">
            <w:pPr>
              <w:rPr>
                <w:rFonts w:hint="eastAsia"/>
              </w:rPr>
            </w:pPr>
            <w:r>
              <w:t>Chi-Square</w:t>
            </w:r>
          </w:p>
        </w:tc>
        <w:tc>
          <w:tcPr>
            <w:tcW w:w="1728" w:type="dxa"/>
          </w:tcPr>
          <w:p w14:paraId="43675D59" w14:textId="77777777" w:rsidR="0024335E" w:rsidRDefault="00000000">
            <w:pPr>
              <w:rPr>
                <w:rFonts w:hint="eastAsia"/>
              </w:rPr>
            </w:pPr>
            <w:r>
              <w:t>Internet Service vs Churn</w:t>
            </w:r>
          </w:p>
        </w:tc>
        <w:tc>
          <w:tcPr>
            <w:tcW w:w="1728" w:type="dxa"/>
          </w:tcPr>
          <w:p w14:paraId="6F74E9A9" w14:textId="77777777" w:rsidR="0024335E" w:rsidRDefault="00000000">
            <w:pPr>
              <w:rPr>
                <w:rFonts w:hint="eastAsia"/>
              </w:rPr>
            </w:pPr>
            <w:r>
              <w:t>See executed notebook</w:t>
            </w:r>
          </w:p>
        </w:tc>
        <w:tc>
          <w:tcPr>
            <w:tcW w:w="1728" w:type="dxa"/>
          </w:tcPr>
          <w:p w14:paraId="7334D96D" w14:textId="77777777" w:rsidR="0024335E" w:rsidRDefault="00000000">
            <w:pPr>
              <w:rPr>
                <w:rFonts w:hint="eastAsia"/>
              </w:rPr>
            </w:pPr>
            <w:r>
              <w:t>Significant</w:t>
            </w:r>
          </w:p>
        </w:tc>
        <w:tc>
          <w:tcPr>
            <w:tcW w:w="1728" w:type="dxa"/>
          </w:tcPr>
          <w:p w14:paraId="4D860D21" w14:textId="77777777" w:rsidR="0024335E" w:rsidRDefault="00000000">
            <w:pPr>
              <w:rPr>
                <w:rFonts w:hint="eastAsia"/>
              </w:rPr>
            </w:pPr>
            <w:r>
              <w:t>Reject H₀</w:t>
            </w:r>
          </w:p>
        </w:tc>
      </w:tr>
      <w:tr w:rsidR="0024335E" w14:paraId="377C35D4" w14:textId="77777777">
        <w:tc>
          <w:tcPr>
            <w:tcW w:w="1728" w:type="dxa"/>
          </w:tcPr>
          <w:p w14:paraId="1CCF9400" w14:textId="77777777" w:rsidR="0024335E" w:rsidRDefault="00000000">
            <w:pPr>
              <w:rPr>
                <w:rFonts w:hint="eastAsia"/>
              </w:rPr>
            </w:pPr>
            <w:r>
              <w:t>Chi-Square</w:t>
            </w:r>
          </w:p>
        </w:tc>
        <w:tc>
          <w:tcPr>
            <w:tcW w:w="1728" w:type="dxa"/>
          </w:tcPr>
          <w:p w14:paraId="626D9333" w14:textId="77777777" w:rsidR="0024335E" w:rsidRDefault="00000000">
            <w:pPr>
              <w:rPr>
                <w:rFonts w:hint="eastAsia"/>
              </w:rPr>
            </w:pPr>
            <w:r>
              <w:t>Payment Method vs Churn</w:t>
            </w:r>
          </w:p>
        </w:tc>
        <w:tc>
          <w:tcPr>
            <w:tcW w:w="1728" w:type="dxa"/>
          </w:tcPr>
          <w:p w14:paraId="20B4E525" w14:textId="77777777" w:rsidR="0024335E" w:rsidRDefault="00000000">
            <w:pPr>
              <w:rPr>
                <w:rFonts w:hint="eastAsia"/>
              </w:rPr>
            </w:pPr>
            <w:r>
              <w:t>645.4299</w:t>
            </w:r>
          </w:p>
        </w:tc>
        <w:tc>
          <w:tcPr>
            <w:tcW w:w="1728" w:type="dxa"/>
          </w:tcPr>
          <w:p w14:paraId="56C77935" w14:textId="77777777" w:rsidR="0024335E" w:rsidRDefault="00000000">
            <w:pPr>
              <w:rPr>
                <w:rFonts w:hint="eastAsia"/>
              </w:rPr>
            </w:pPr>
            <w:r>
              <w:t>1.43 × 10⁻¹³⁹; V=0.3023</w:t>
            </w:r>
          </w:p>
        </w:tc>
        <w:tc>
          <w:tcPr>
            <w:tcW w:w="1728" w:type="dxa"/>
          </w:tcPr>
          <w:p w14:paraId="3D81CC02" w14:textId="77777777" w:rsidR="0024335E" w:rsidRDefault="00000000">
            <w:pPr>
              <w:rPr>
                <w:rFonts w:hint="eastAsia"/>
              </w:rPr>
            </w:pPr>
            <w:r>
              <w:t>Reject H₀</w:t>
            </w:r>
          </w:p>
        </w:tc>
      </w:tr>
      <w:tr w:rsidR="0024335E" w14:paraId="729B9E04" w14:textId="77777777">
        <w:tc>
          <w:tcPr>
            <w:tcW w:w="1728" w:type="dxa"/>
          </w:tcPr>
          <w:p w14:paraId="3329DC56" w14:textId="77777777" w:rsidR="0024335E" w:rsidRDefault="00000000">
            <w:pPr>
              <w:rPr>
                <w:rFonts w:hint="eastAsia"/>
              </w:rPr>
            </w:pPr>
            <w:r>
              <w:t>Mann–Whitney U</w:t>
            </w:r>
          </w:p>
        </w:tc>
        <w:tc>
          <w:tcPr>
            <w:tcW w:w="1728" w:type="dxa"/>
          </w:tcPr>
          <w:p w14:paraId="67F68C4E" w14:textId="77777777" w:rsidR="0024335E" w:rsidRDefault="00000000">
            <w:pPr>
              <w:rPr>
                <w:rFonts w:hint="eastAsia"/>
              </w:rPr>
            </w:pPr>
            <w:r>
              <w:t>Tenure vs Churn</w:t>
            </w:r>
          </w:p>
        </w:tc>
        <w:tc>
          <w:tcPr>
            <w:tcW w:w="1728" w:type="dxa"/>
          </w:tcPr>
          <w:p w14:paraId="78718DF5" w14:textId="77777777" w:rsidR="0024335E" w:rsidRDefault="00000000">
            <w:pPr>
              <w:rPr>
                <w:rFonts w:hint="eastAsia"/>
              </w:rPr>
            </w:pPr>
            <w:r>
              <w:t>7,154,668.0</w:t>
            </w:r>
          </w:p>
        </w:tc>
        <w:tc>
          <w:tcPr>
            <w:tcW w:w="1728" w:type="dxa"/>
          </w:tcPr>
          <w:p w14:paraId="375FF959" w14:textId="77777777" w:rsidR="0024335E" w:rsidRDefault="00000000">
            <w:pPr>
              <w:rPr>
                <w:rFonts w:hint="eastAsia"/>
              </w:rPr>
            </w:pPr>
            <w:r>
              <w:t>6.04 × 10⁻²¹¹; RB=−0.4829</w:t>
            </w:r>
          </w:p>
        </w:tc>
        <w:tc>
          <w:tcPr>
            <w:tcW w:w="1728" w:type="dxa"/>
          </w:tcPr>
          <w:p w14:paraId="77EDA338" w14:textId="77777777" w:rsidR="0024335E" w:rsidRDefault="00000000">
            <w:pPr>
              <w:rPr>
                <w:rFonts w:hint="eastAsia"/>
              </w:rPr>
            </w:pPr>
            <w:r>
              <w:t>Reject H₀</w:t>
            </w:r>
          </w:p>
        </w:tc>
      </w:tr>
      <w:tr w:rsidR="0024335E" w14:paraId="0F709563" w14:textId="77777777">
        <w:tc>
          <w:tcPr>
            <w:tcW w:w="1728" w:type="dxa"/>
          </w:tcPr>
          <w:p w14:paraId="5709F743" w14:textId="77777777" w:rsidR="0024335E" w:rsidRDefault="00000000">
            <w:pPr>
              <w:rPr>
                <w:rFonts w:hint="eastAsia"/>
              </w:rPr>
            </w:pPr>
            <w:r>
              <w:t>Mann–Whitney U</w:t>
            </w:r>
          </w:p>
        </w:tc>
        <w:tc>
          <w:tcPr>
            <w:tcW w:w="1728" w:type="dxa"/>
          </w:tcPr>
          <w:p w14:paraId="345FB043" w14:textId="77777777" w:rsidR="0024335E" w:rsidRDefault="00000000">
            <w:pPr>
              <w:rPr>
                <w:rFonts w:hint="eastAsia"/>
              </w:rPr>
            </w:pPr>
            <w:r>
              <w:t>Monthly Charges vs Churn</w:t>
            </w:r>
          </w:p>
        </w:tc>
        <w:tc>
          <w:tcPr>
            <w:tcW w:w="1728" w:type="dxa"/>
          </w:tcPr>
          <w:p w14:paraId="55F9DBE5" w14:textId="77777777" w:rsidR="0024335E" w:rsidRDefault="00000000">
            <w:pPr>
              <w:rPr>
                <w:rFonts w:hint="eastAsia"/>
              </w:rPr>
            </w:pPr>
            <w:r>
              <w:t>3,663,498.5</w:t>
            </w:r>
          </w:p>
        </w:tc>
        <w:tc>
          <w:tcPr>
            <w:tcW w:w="1728" w:type="dxa"/>
          </w:tcPr>
          <w:p w14:paraId="6D75CD0F" w14:textId="77777777" w:rsidR="0024335E" w:rsidRDefault="00000000">
            <w:pPr>
              <w:rPr>
                <w:rFonts w:hint="eastAsia"/>
              </w:rPr>
            </w:pPr>
            <w:r>
              <w:t>8.47 × 10⁻⁵⁴; RB=0.2407</w:t>
            </w:r>
          </w:p>
        </w:tc>
        <w:tc>
          <w:tcPr>
            <w:tcW w:w="1728" w:type="dxa"/>
          </w:tcPr>
          <w:p w14:paraId="5B48B5BA" w14:textId="77777777" w:rsidR="0024335E" w:rsidRDefault="00000000">
            <w:pPr>
              <w:rPr>
                <w:rFonts w:hint="eastAsia"/>
              </w:rPr>
            </w:pPr>
            <w:r>
              <w:t>Reject H₀</w:t>
            </w:r>
          </w:p>
        </w:tc>
      </w:tr>
    </w:tbl>
    <w:p w14:paraId="6D1FB142" w14:textId="77777777" w:rsidR="0024335E" w:rsidRDefault="00000000">
      <w:pPr>
        <w:rPr>
          <w:rFonts w:hint="eastAsia"/>
        </w:rPr>
      </w:pPr>
      <w:r>
        <w:t>Note: Exact numerical values for Contract and Internet Service are intentionally left to the executed Week 3 notebook rather than being fabricated.</w:t>
      </w:r>
    </w:p>
    <w:p w14:paraId="73E016F3" w14:textId="77777777" w:rsidR="0024335E" w:rsidRDefault="00000000">
      <w:pPr>
        <w:pStyle w:val="Heading2"/>
      </w:pPr>
      <w:r>
        <w:t>6.1 Contract Type and Churn</w:t>
      </w:r>
    </w:p>
    <w:p w14:paraId="76DD70B8" w14:textId="77777777" w:rsidR="0024335E" w:rsidRDefault="00000000">
      <w:pPr>
        <w:rPr>
          <w:rFonts w:hint="eastAsia"/>
        </w:rPr>
      </w:pPr>
      <w:r>
        <w:t>The Chi-Square analysis indicates a statistically significant association between Contract Type and Churn. Earlier analysis showed month-to-month customers had considerably higher churn rates than longer-term customers.</w:t>
      </w:r>
    </w:p>
    <w:p w14:paraId="283A3A35" w14:textId="77777777" w:rsidR="0024335E" w:rsidRDefault="00000000">
      <w:pPr>
        <w:rPr>
          <w:rFonts w:hint="eastAsia"/>
        </w:rPr>
      </w:pPr>
      <w:r>
        <w:t>Business implication: prioritize higher-risk contract segments for targeted engagement, loyalty benefits, upgrade incentives, and renewal communication. Association does not prove causation.</w:t>
      </w:r>
    </w:p>
    <w:p w14:paraId="5CD7C45D" w14:textId="77777777" w:rsidR="0024335E" w:rsidRDefault="00000000">
      <w:pPr>
        <w:pStyle w:val="Heading2"/>
      </w:pPr>
      <w:r>
        <w:t>6.2 Internet Service and Churn</w:t>
      </w:r>
    </w:p>
    <w:p w14:paraId="5C951E11" w14:textId="77777777" w:rsidR="0024335E" w:rsidRDefault="00000000">
      <w:pPr>
        <w:rPr>
          <w:rFonts w:hint="eastAsia"/>
        </w:rPr>
      </w:pPr>
      <w:r>
        <w:t>The Chi-Square analysis indicates a statistically significant association between Internet Service and Churn.</w:t>
      </w:r>
    </w:p>
    <w:p w14:paraId="5FAF5CCC" w14:textId="77777777" w:rsidR="0024335E" w:rsidRDefault="00000000">
      <w:pPr>
        <w:rPr>
          <w:rFonts w:hint="eastAsia"/>
        </w:rPr>
      </w:pPr>
      <w:r>
        <w:t>Business implication: investigate service quality, pricing, reliability, support, and customer expectations in higher-churn service segments.</w:t>
      </w:r>
    </w:p>
    <w:p w14:paraId="6587EA27" w14:textId="77777777" w:rsidR="0024335E" w:rsidRDefault="00000000">
      <w:pPr>
        <w:pStyle w:val="Heading2"/>
      </w:pPr>
      <w:r>
        <w:t>6.3 Payment Method and Churn</w:t>
      </w:r>
    </w:p>
    <w:p w14:paraId="2A2ED786" w14:textId="77777777" w:rsidR="0024335E" w:rsidRDefault="00000000">
      <w:pPr>
        <w:rPr>
          <w:rFonts w:hint="eastAsia"/>
        </w:rPr>
      </w:pPr>
      <w:r>
        <w:t>The Chi-Square statistic was 645.4299 with 3 degrees of freedom and p ≈ 1.43 × 10⁻¹³⁹. Cramér's V was 0.3023, indicating a moderate association.</w:t>
      </w:r>
    </w:p>
    <w:p w14:paraId="620F0519" w14:textId="77777777" w:rsidR="0024335E" w:rsidRDefault="00000000">
      <w:pPr>
        <w:rPr>
          <w:rFonts w:hint="eastAsia"/>
        </w:rPr>
      </w:pPr>
      <w:r>
        <w:t>Business implication: investigate payment convenience, billing friction, automatic-payment adoption, and payment-related support.</w:t>
      </w:r>
    </w:p>
    <w:p w14:paraId="75436C9E" w14:textId="77777777" w:rsidR="0024335E" w:rsidRDefault="00000000">
      <w:pPr>
        <w:pStyle w:val="Heading2"/>
      </w:pPr>
      <w:r>
        <w:t>6.4 Tenure and Churn</w:t>
      </w:r>
    </w:p>
    <w:p w14:paraId="36AACFC0" w14:textId="77777777" w:rsidR="0024335E" w:rsidRDefault="00000000">
      <w:pPr>
        <w:rPr>
          <w:rFonts w:hint="eastAsia"/>
        </w:rPr>
      </w:pPr>
      <w:r>
        <w:t>Mann–Whitney U = 7,154,668.0 and p ≈ 6.04 × 10⁻²¹¹. Median tenure was 38 months for non-churned customers and 10 months for churned customers; means were 37.65 and 17.98 months. Rank-biserial correlation was −0.4829.</w:t>
      </w:r>
    </w:p>
    <w:p w14:paraId="51F0D762" w14:textId="77777777" w:rsidR="0024335E" w:rsidRDefault="00000000">
      <w:pPr>
        <w:rPr>
          <w:rFonts w:hint="eastAsia"/>
        </w:rPr>
      </w:pPr>
      <w:r>
        <w:t>Business implication: strengthen early lifecycle engagement through onboarding, satisfaction checks, communication, and service guidance.</w:t>
      </w:r>
    </w:p>
    <w:p w14:paraId="1F83B441" w14:textId="77777777" w:rsidR="0024335E" w:rsidRDefault="00000000">
      <w:pPr>
        <w:pStyle w:val="Heading2"/>
      </w:pPr>
      <w:r>
        <w:t>6.5 Monthly Charges and Churn</w:t>
      </w:r>
    </w:p>
    <w:p w14:paraId="1AA6D970" w14:textId="77777777" w:rsidR="0024335E" w:rsidRDefault="00000000">
      <w:pPr>
        <w:rPr>
          <w:rFonts w:hint="eastAsia"/>
        </w:rPr>
      </w:pPr>
      <w:r>
        <w:t>Mann–Whitney U = 3,663,498.5 and p ≈ 8.47 × 10⁻⁵⁴. Median monthly charges were 64.45 for non-churned customers and 79.65 for churned customers; means were 61.31 and 74.44. Rank-biserial correlation was 0.2407.</w:t>
      </w:r>
    </w:p>
    <w:p w14:paraId="0DF05D88" w14:textId="77777777" w:rsidR="0024335E" w:rsidRDefault="00000000">
      <w:pPr>
        <w:rPr>
          <w:rFonts w:hint="eastAsia"/>
        </w:rPr>
      </w:pPr>
      <w:r>
        <w:t>Business implication: investigate pricing and perceived value, with appropriate personalized plans, value communication, or loyalty offers.</w:t>
      </w:r>
    </w:p>
    <w:p w14:paraId="5940D497" w14:textId="77777777" w:rsidR="0024335E" w:rsidRDefault="00000000">
      <w:pPr>
        <w:pStyle w:val="Heading1"/>
      </w:pPr>
      <w:r>
        <w:lastRenderedPageBreak/>
        <w:t>7. Overall Business Insights</w:t>
      </w:r>
    </w:p>
    <w:p w14:paraId="272888D0" w14:textId="77777777" w:rsidR="0024335E" w:rsidRDefault="00000000">
      <w:pPr>
        <w:pStyle w:val="ListBullet"/>
        <w:rPr>
          <w:rFonts w:hint="eastAsia"/>
        </w:rPr>
      </w:pPr>
      <w:r>
        <w:t>Retention strategy should combine contract, service, payment, tenure, and pricing dimensions.</w:t>
      </w:r>
    </w:p>
    <w:p w14:paraId="591552E0" w14:textId="77777777" w:rsidR="0024335E" w:rsidRDefault="00000000">
      <w:pPr>
        <w:pStyle w:val="ListBullet"/>
        <w:rPr>
          <w:rFonts w:hint="eastAsia"/>
        </w:rPr>
      </w:pPr>
      <w:r>
        <w:t>Early-tenure customers deserve particular attention.</w:t>
      </w:r>
    </w:p>
    <w:p w14:paraId="221947E0" w14:textId="77777777" w:rsidR="0024335E" w:rsidRDefault="00000000">
      <w:pPr>
        <w:pStyle w:val="ListBullet"/>
        <w:rPr>
          <w:rFonts w:hint="eastAsia"/>
        </w:rPr>
      </w:pPr>
      <w:r>
        <w:t>Payment experience is a meaningful segmentation dimension.</w:t>
      </w:r>
    </w:p>
    <w:p w14:paraId="3EE71073" w14:textId="77777777" w:rsidR="0024335E" w:rsidRDefault="00000000">
      <w:pPr>
        <w:pStyle w:val="ListBullet"/>
        <w:rPr>
          <w:rFonts w:hint="eastAsia"/>
        </w:rPr>
      </w:pPr>
      <w:r>
        <w:t>Higher monthly charges showed a statistically significant group difference.</w:t>
      </w:r>
    </w:p>
    <w:p w14:paraId="416EEED5" w14:textId="77777777" w:rsidR="0024335E" w:rsidRDefault="00000000">
      <w:pPr>
        <w:pStyle w:val="ListBullet"/>
        <w:rPr>
          <w:rFonts w:hint="eastAsia"/>
        </w:rPr>
      </w:pPr>
      <w:r>
        <w:t>The findings provide hypotheses and useful features for machine-learning modeling.</w:t>
      </w:r>
    </w:p>
    <w:p w14:paraId="57CD4029" w14:textId="77777777" w:rsidR="0024335E" w:rsidRDefault="00000000">
      <w:pPr>
        <w:pStyle w:val="Heading1"/>
      </w:pPr>
      <w:r>
        <w:t>8. Limitations and Responsible Interpretation</w:t>
      </w:r>
    </w:p>
    <w:p w14:paraId="78235C7A" w14:textId="77777777" w:rsidR="0024335E" w:rsidRDefault="00000000">
      <w:pPr>
        <w:rPr>
          <w:rFonts w:hint="eastAsia"/>
        </w:rPr>
      </w:pPr>
      <w:r>
        <w:t>The tests identify associations or distributional differences; they do not establish causal relationships. Statistical significance does not mean a variable independently causes churn. The dataset represents a particular customer population and business context, so findings should be validated against current operational data. Churn is multi-factor and interactions among variables may matter.</w:t>
      </w:r>
    </w:p>
    <w:p w14:paraId="7F9FB09F" w14:textId="77777777" w:rsidR="0024335E" w:rsidRDefault="00000000">
      <w:pPr>
        <w:pStyle w:val="Heading1"/>
      </w:pPr>
      <w:r>
        <w:t>9. Conclusion</w:t>
      </w:r>
    </w:p>
    <w:p w14:paraId="2C47D127" w14:textId="77777777" w:rsidR="0024335E" w:rsidRDefault="00000000">
      <w:pPr>
        <w:rPr>
          <w:rFonts w:hint="eastAsia"/>
        </w:rPr>
      </w:pPr>
      <w:r>
        <w:t>Week 3 extended ChurnLens AI from descriptive analysis to formal statistical inference. Chi-Square and Mann–Whitney U tests provided evidence for important churn-related patterns, while Cramér's V and rank-biserial correlation added information about association or difference magnitude. These findings provide a stronger foundation for Week 4 machine-learning model development and evaluation.</w:t>
      </w:r>
    </w:p>
    <w:p w14:paraId="5A2F95B7" w14:textId="77777777" w:rsidR="0024335E" w:rsidRDefault="00000000">
      <w:pPr>
        <w:pStyle w:val="Heading1"/>
      </w:pPr>
      <w:r>
        <w:t>10. Deliverables Checklist</w:t>
      </w:r>
    </w:p>
    <w:p w14:paraId="6E8F716F" w14:textId="77777777" w:rsidR="0024335E" w:rsidRDefault="00000000">
      <w:pPr>
        <w:rPr>
          <w:rFonts w:hint="eastAsia"/>
        </w:rPr>
      </w:pPr>
      <w:r>
        <w:t>☑ Statistical analysis notebook</w:t>
      </w:r>
    </w:p>
    <w:p w14:paraId="0FFF9501" w14:textId="77777777" w:rsidR="0024335E" w:rsidRDefault="00000000">
      <w:pPr>
        <w:rPr>
          <w:rFonts w:hint="eastAsia"/>
        </w:rPr>
      </w:pPr>
      <w:r>
        <w:t>☑ Three Chi-Square tests</w:t>
      </w:r>
    </w:p>
    <w:p w14:paraId="5B040D92" w14:textId="77777777" w:rsidR="0024335E" w:rsidRDefault="00000000">
      <w:pPr>
        <w:rPr>
          <w:rFonts w:hint="eastAsia"/>
        </w:rPr>
      </w:pPr>
      <w:r>
        <w:t>☑ Two Mann–Whitney U tests</w:t>
      </w:r>
    </w:p>
    <w:p w14:paraId="45897B72" w14:textId="77777777" w:rsidR="0024335E" w:rsidRDefault="00000000">
      <w:pPr>
        <w:rPr>
          <w:rFonts w:hint="eastAsia"/>
        </w:rPr>
      </w:pPr>
      <w:r>
        <w:t>☑ Effect-size analysis</w:t>
      </w:r>
    </w:p>
    <w:p w14:paraId="4651A359" w14:textId="77777777" w:rsidR="0024335E" w:rsidRDefault="00000000">
      <w:pPr>
        <w:rPr>
          <w:rFonts w:hint="eastAsia"/>
        </w:rPr>
      </w:pPr>
      <w:r>
        <w:t>☑ Business interpretation</w:t>
      </w:r>
    </w:p>
    <w:p w14:paraId="44F46C7E" w14:textId="77777777" w:rsidR="0024335E" w:rsidRDefault="00000000">
      <w:pPr>
        <w:rPr>
          <w:rFonts w:hint="eastAsia"/>
        </w:rPr>
      </w:pPr>
      <w:r>
        <w:t>☑ Professional Week 3 report</w:t>
      </w:r>
    </w:p>
    <w:p w14:paraId="6FF2EB79" w14:textId="77777777" w:rsidR="0024335E" w:rsidRDefault="00000000">
      <w:pPr>
        <w:rPr>
          <w:rFonts w:hint="eastAsia"/>
        </w:rPr>
      </w:pPr>
      <w:r>
        <w:t>☑ 200+ word submission description</w:t>
      </w:r>
    </w:p>
    <w:p w14:paraId="554068A8" w14:textId="77777777" w:rsidR="0024335E" w:rsidRDefault="00000000">
      <w:pPr>
        <w:rPr>
          <w:rFonts w:hint="eastAsia"/>
        </w:rPr>
      </w:pPr>
      <w:r>
        <w:t>☑ GitHub Week 3 update</w:t>
      </w:r>
    </w:p>
    <w:sectPr w:rsidR="0024335E" w:rsidSect="00FB33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3840422">
    <w:abstractNumId w:val="8"/>
  </w:num>
  <w:num w:numId="2" w16cid:durableId="382143869">
    <w:abstractNumId w:val="6"/>
  </w:num>
  <w:num w:numId="3" w16cid:durableId="1953634338">
    <w:abstractNumId w:val="5"/>
  </w:num>
  <w:num w:numId="4" w16cid:durableId="28380820">
    <w:abstractNumId w:val="4"/>
  </w:num>
  <w:num w:numId="5" w16cid:durableId="1768385534">
    <w:abstractNumId w:val="7"/>
  </w:num>
  <w:num w:numId="6" w16cid:durableId="1862815389">
    <w:abstractNumId w:val="3"/>
  </w:num>
  <w:num w:numId="7" w16cid:durableId="1160541369">
    <w:abstractNumId w:val="2"/>
  </w:num>
  <w:num w:numId="8" w16cid:durableId="1050422833">
    <w:abstractNumId w:val="1"/>
  </w:num>
  <w:num w:numId="9" w16cid:durableId="1445730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35E"/>
    <w:rsid w:val="0029639D"/>
    <w:rsid w:val="00326F90"/>
    <w:rsid w:val="009D6577"/>
    <w:rsid w:val="00AA1D8D"/>
    <w:rsid w:val="00B47730"/>
    <w:rsid w:val="00CB0664"/>
    <w:rsid w:val="00FB33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1328CC3-91B3-476B-900E-64DAA27E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872</Words>
  <Characters>4973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Bhagyashree Pashte</cp:lastModifiedBy>
  <cp:revision>2</cp:revision>
  <dcterms:created xsi:type="dcterms:W3CDTF">2013-12-23T23:15:00Z</dcterms:created>
  <dcterms:modified xsi:type="dcterms:W3CDTF">2026-10-06T12:03:00Z</dcterms:modified>
  <cp:category/>
</cp:coreProperties>
</file>