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REPORT</w:t>
      </w:r>
    </w:p>
    <w:p>
      <w:pPr>
        <w:jc w:val="center"/>
      </w:pPr>
      <w:r>
        <w:rPr>
          <w:b/>
          <w:sz w:val="28"/>
        </w:rPr>
        <w:t>Data Acquisition, Cleaning and Exploratory Data Analysis</w:t>
      </w:r>
    </w:p>
    <w:p>
      <w:pPr>
        <w:jc w:val="center"/>
      </w:pPr>
      <w:r>
        <w:rPr>
          <w:b/>
          <w:sz w:val="24"/>
        </w:rPr>
        <w:t>Project: Customer Churn Analysis and Prediction Using Python</w:t>
      </w:r>
    </w:p>
    <w:p/>
    <w:tbl>
      <w:tblPr>
        <w:tblStyle w:val="TableGrid"/>
        <w:tblW w:type="auto" w:w="0"/>
        <w:tblLook w:firstColumn="1" w:firstRow="1" w:lastColumn="0" w:lastRow="0" w:noHBand="0" w:noVBand="1" w:val="04A0"/>
      </w:tblPr>
      <w:tblGrid>
        <w:gridCol w:w="4968"/>
        <w:gridCol w:w="4968"/>
      </w:tblGrid>
      <w:tr>
        <w:tc>
          <w:tcPr>
            <w:tcW w:type="dxa" w:w="4968"/>
            <w:shd w:fill="EAF2F8"/>
          </w:tcPr>
          <w:p>
            <w:r>
              <w:t>Intern</w:t>
            </w:r>
          </w:p>
        </w:tc>
        <w:tc>
          <w:tcPr>
            <w:tcW w:type="dxa" w:w="4968"/>
          </w:tcPr>
          <w:p>
            <w:r>
              <w:t>Bhagyashree Santosh Pashte</w:t>
            </w:r>
          </w:p>
        </w:tc>
      </w:tr>
      <w:tr>
        <w:tc>
          <w:tcPr>
            <w:tcW w:type="dxa" w:w="4968"/>
            <w:shd w:fill="EAF2F8"/>
          </w:tcPr>
          <w:p>
            <w:r>
              <w:t>Internship</w:t>
            </w:r>
          </w:p>
        </w:tc>
        <w:tc>
          <w:tcPr>
            <w:tcW w:type="dxa" w:w="4968"/>
          </w:tcPr>
          <w:p>
            <w:r>
              <w:t>YuvaIntern – Virtual Data Science with Python Apprentice Intern</w:t>
            </w:r>
          </w:p>
        </w:tc>
      </w:tr>
      <w:tr>
        <w:tc>
          <w:tcPr>
            <w:tcW w:type="dxa" w:w="4968"/>
            <w:shd w:fill="EAF2F8"/>
          </w:tcPr>
          <w:p>
            <w:r>
              <w:t>Task</w:t>
            </w:r>
          </w:p>
        </w:tc>
        <w:tc>
          <w:tcPr>
            <w:tcW w:type="dxa" w:w="4968"/>
          </w:tcPr>
          <w:p>
            <w:r>
              <w:t>Week 1 – Data Acquisition, Cleaning and Exploratory Analysis</w:t>
            </w:r>
          </w:p>
        </w:tc>
      </w:tr>
      <w:tr>
        <w:tc>
          <w:tcPr>
            <w:tcW w:type="dxa" w:w="4968"/>
            <w:shd w:fill="EAF2F8"/>
          </w:tcPr>
          <w:p>
            <w:r>
              <w:t>Tools</w:t>
            </w:r>
          </w:p>
        </w:tc>
        <w:tc>
          <w:tcPr>
            <w:tcW w:type="dxa" w:w="4968"/>
          </w:tcPr>
          <w:p>
            <w:r>
              <w:t>Python, Pandas, NumPy, Matplotlib, Seaborn, Jupyter Notebook</w:t>
            </w:r>
          </w:p>
        </w:tc>
      </w:tr>
    </w:tbl>
    <w:p/>
    <w:p>
      <w:pPr>
        <w:pStyle w:val="Heading1"/>
      </w:pPr>
      <w:r>
        <w:t>1. Project Overview</w:t>
      </w:r>
    </w:p>
    <w:p>
      <w:r>
        <w:t>Customer churn refers to customers discontinuing their relationship with a company. The objective of this project is to analyze customer-level data and identify patterns associated with churn. The project uses the IBM Telco Customer Churn dataset and follows an end-to-end data science workflow. Week 1 focuses on acquiring the dataset, inspecting its structure, cleaning data quality issues, performing exploratory data analysis (EDA), creating visualizations, and extracting initial business insights.</w:t>
      </w:r>
    </w:p>
    <w:p>
      <w:pPr>
        <w:pStyle w:val="Heading1"/>
      </w:pPr>
      <w:r>
        <w:t>2. Objectives</w:t>
      </w:r>
    </w:p>
    <w:p>
      <w:pPr>
        <w:pStyle w:val="ListBullet"/>
      </w:pPr>
      <w:r>
        <w:t>Acquire and inspect a public customer churn dataset.</w:t>
      </w:r>
    </w:p>
    <w:p>
      <w:pPr>
        <w:pStyle w:val="ListBullet"/>
      </w:pPr>
      <w:r>
        <w:t>Identify missing values, duplicates, inconsistent formatting and incorrect data types.</w:t>
      </w:r>
    </w:p>
    <w:p>
      <w:pPr>
        <w:pStyle w:val="ListBullet"/>
      </w:pPr>
      <w:r>
        <w:t>Clean and prepare the dataset for analysis.</w:t>
      </w:r>
    </w:p>
    <w:p>
      <w:pPr>
        <w:pStyle w:val="ListBullet"/>
      </w:pPr>
      <w:r>
        <w:t>Understand the distribution of customer churn.</w:t>
      </w:r>
    </w:p>
    <w:p>
      <w:pPr>
        <w:pStyle w:val="ListBullet"/>
      </w:pPr>
      <w:r>
        <w:t>Analyze relationships between churn and customer characteristics such as tenure, charges and contract type.</w:t>
      </w:r>
    </w:p>
    <w:p>
      <w:pPr>
        <w:pStyle w:val="ListBullet"/>
      </w:pPr>
      <w:r>
        <w:t>Create meaningful visualizations and identify initial patterns for further statistical and machine-learning analysis.</w:t>
      </w:r>
    </w:p>
    <w:p>
      <w:pPr>
        <w:pStyle w:val="Heading1"/>
      </w:pPr>
      <w:r>
        <w:t>3. Dataset Description</w:t>
      </w:r>
    </w:p>
    <w:p>
      <w:r>
        <w:t>The IBM Telco Customer Churn dataset contains customer information related to demographics, services, contracts, billing and churn status. The original dataset contains 7,043 records and 21 variables. After cleaning, the analysis dataset contains 7,032 valid records.</w:t>
      </w:r>
    </w:p>
    <w:tbl>
      <w:tblPr>
        <w:tblStyle w:val="TableGrid"/>
        <w:tblW w:type="auto" w:w="0"/>
        <w:tblLook w:firstColumn="1" w:firstRow="1" w:lastColumn="0" w:lastRow="0" w:noHBand="0" w:noVBand="1" w:val="04A0"/>
      </w:tblPr>
      <w:tblGrid>
        <w:gridCol w:w="4968"/>
        <w:gridCol w:w="4968"/>
      </w:tblGrid>
      <w:tr>
        <w:tc>
          <w:tcPr>
            <w:tcW w:type="dxa" w:w="4968"/>
            <w:shd w:fill="D9EAF7"/>
          </w:tcPr>
          <w:p>
            <w:r>
              <w:t>Category</w:t>
            </w:r>
          </w:p>
        </w:tc>
        <w:tc>
          <w:tcPr>
            <w:tcW w:type="dxa" w:w="4968"/>
            <w:shd w:fill="D9EAF7"/>
          </w:tcPr>
          <w:p>
            <w:r>
              <w:t>Examples</w:t>
            </w:r>
          </w:p>
        </w:tc>
      </w:tr>
      <w:tr>
        <w:tc>
          <w:tcPr>
            <w:tcW w:type="dxa" w:w="4968"/>
          </w:tcPr>
          <w:p>
            <w:r>
              <w:t>Customer information</w:t>
            </w:r>
          </w:p>
        </w:tc>
        <w:tc>
          <w:tcPr>
            <w:tcW w:type="dxa" w:w="4968"/>
          </w:tcPr>
          <w:p>
            <w:r>
              <w:t>gender, SeniorCitizen, Partner, Dependents</w:t>
            </w:r>
          </w:p>
        </w:tc>
      </w:tr>
      <w:tr>
        <w:tc>
          <w:tcPr>
            <w:tcW w:type="dxa" w:w="4968"/>
          </w:tcPr>
          <w:p>
            <w:r>
              <w:t>Service information</w:t>
            </w:r>
          </w:p>
        </w:tc>
        <w:tc>
          <w:tcPr>
            <w:tcW w:type="dxa" w:w="4968"/>
          </w:tcPr>
          <w:p>
            <w:r>
              <w:t>PhoneService, InternetService, OnlineSecurity, TechSupport</w:t>
            </w:r>
          </w:p>
        </w:tc>
      </w:tr>
      <w:tr>
        <w:tc>
          <w:tcPr>
            <w:tcW w:type="dxa" w:w="4968"/>
          </w:tcPr>
          <w:p>
            <w:r>
              <w:t>Contract information</w:t>
            </w:r>
          </w:p>
        </w:tc>
        <w:tc>
          <w:tcPr>
            <w:tcW w:type="dxa" w:w="4968"/>
          </w:tcPr>
          <w:p>
            <w:r>
              <w:t>Contract, PaperlessBilling, PaymentMethod</w:t>
            </w:r>
          </w:p>
        </w:tc>
      </w:tr>
      <w:tr>
        <w:tc>
          <w:tcPr>
            <w:tcW w:type="dxa" w:w="4968"/>
          </w:tcPr>
          <w:p>
            <w:r>
              <w:t>Financial information</w:t>
            </w:r>
          </w:p>
        </w:tc>
        <w:tc>
          <w:tcPr>
            <w:tcW w:type="dxa" w:w="4968"/>
          </w:tcPr>
          <w:p>
            <w:r>
              <w:t>MonthlyCharges, TotalCharges</w:t>
            </w:r>
          </w:p>
        </w:tc>
      </w:tr>
      <w:tr>
        <w:tc>
          <w:tcPr>
            <w:tcW w:type="dxa" w:w="4968"/>
          </w:tcPr>
          <w:p>
            <w:r>
              <w:t>Target variable</w:t>
            </w:r>
          </w:p>
        </w:tc>
        <w:tc>
          <w:tcPr>
            <w:tcW w:type="dxa" w:w="4968"/>
          </w:tcPr>
          <w:p>
            <w:r>
              <w:t>Churn</w:t>
            </w:r>
          </w:p>
        </w:tc>
      </w:tr>
    </w:tbl>
    <w:p>
      <w:pPr>
        <w:pStyle w:val="Heading1"/>
      </w:pPr>
      <w:r>
        <w:t>4. Data Acquisition and Initial Inspection</w:t>
      </w:r>
    </w:p>
    <w:p>
      <w:r>
        <w:t>The dataset was obtained from IBM's publicly available Telco Customer Churn dataset. The CSV file was stored in the project's raw-data directory so that the original dataset remained unchanged. Initial inspection was performed using Pandas functions such as head(), shape, info(), describe(), isnull().sum(), duplicated(), and value_counts().</w:t>
      </w:r>
    </w:p>
    <w:p>
      <w:pPr>
        <w:ind w:left="360"/>
      </w:pPr>
      <w:r>
        <w:rPr>
          <w:rFonts w:ascii="Consolas" w:hAnsi="Consolas"/>
          <w:sz w:val="17"/>
        </w:rPr>
        <w:t>import pandas as pd</w:t>
        <w:br/>
        <w:br/>
        <w:t>df = pd.read_csv("../data/raw/Telco-Customer-Churn.csv")</w:t>
        <w:br/>
        <w:br/>
        <w:t>print(df.head())</w:t>
        <w:br/>
        <w:t>print(df.shape)</w:t>
        <w:br/>
        <w:t>print(df.info())</w:t>
        <w:br/>
        <w:t>print(df.isnull().sum())</w:t>
        <w:br/>
        <w:t>print(df.duplicated().sum())</w:t>
      </w:r>
    </w:p>
    <w:p>
      <w:pPr>
        <w:pStyle w:val="Heading1"/>
      </w:pPr>
      <w:r>
        <w:t>5. Data Cleaning and Preprocessing</w:t>
      </w:r>
    </w:p>
    <w:p>
      <w:r>
        <w:t>The dataset required preprocessing before reliable analysis. Object/string columns were stripped of unnecessary whitespace. The TotalCharges column contained blank values and therefore needed conversion to numeric format. Pandas' to_numeric() with errors='coerce' was used so invalid entries became missing values. Numeric fields were then converted to numeric data types and records with missing values in essential numeric columns were removed.</w:t>
      </w:r>
    </w:p>
    <w:p>
      <w:pPr>
        <w:ind w:left="360"/>
      </w:pPr>
      <w:r>
        <w:rPr>
          <w:rFonts w:ascii="Consolas" w:hAnsi="Consolas"/>
          <w:sz w:val="17"/>
        </w:rPr>
        <w:t>df_clean = df.copy()</w:t>
        <w:br/>
        <w:br/>
        <w:t>object_columns = df_clean.select_dtypes(include="object").columns</w:t>
        <w:br/>
        <w:t>for column in object_columns:</w:t>
        <w:br/>
        <w:t xml:space="preserve">    df_clean[column] = df_clean[column].str.strip()</w:t>
        <w:br/>
        <w:br/>
        <w:t>df_clean["TotalCharges"] = pd.to_numeric(</w:t>
        <w:br/>
        <w:t xml:space="preserve">    df_clean["TotalCharges"], errors="coerce"</w:t>
        <w:br/>
        <w:t>)</w:t>
        <w:br/>
        <w:br/>
        <w:t>numeric_columns = [</w:t>
        <w:br/>
        <w:t xml:space="preserve">    "SeniorCitizen", "tenure",</w:t>
        <w:br/>
        <w:t xml:space="preserve">    "MonthlyCharges", "TotalCharges"</w:t>
        <w:br/>
        <w:t>]</w:t>
        <w:br/>
        <w:br/>
        <w:t>for column in numeric_columns:</w:t>
        <w:br/>
        <w:t xml:space="preserve">    df_clean[column] = pd.to_numeric(</w:t>
        <w:br/>
        <w:t xml:space="preserve">        df_clean[column], errors="coerce"</w:t>
        <w:br/>
        <w:t xml:space="preserve">    )</w:t>
        <w:br/>
        <w:br/>
        <w:t>df_clean = df_clean.dropna(subset=numeric_columns)</w:t>
        <w:br/>
        <w:br/>
        <w:t>df_clean.to_csv(</w:t>
        <w:br/>
        <w:t xml:space="preserve">    "../data/processed/Telco-Customer-Churn-Cleaned.csv",</w:t>
        <w:br/>
        <w:t xml:space="preserve">    index=False</w:t>
        <w:br/>
        <w:t>)</w:t>
      </w:r>
    </w:p>
    <w:p>
      <w:r>
        <w:t>After cleaning, the final analytical dataset contained 7,032 rows and 21 columns. The raw dataset was preserved separately from the processed dataset.</w:t>
      </w:r>
    </w:p>
    <w:p>
      <w:pPr>
        <w:pStyle w:val="Heading1"/>
      </w:pPr>
      <w:r>
        <w:t>6. Exploratory Data Analysis</w:t>
      </w:r>
    </w:p>
    <w:p>
      <w:r>
        <w:t>EDA was performed to understand customer churn distribution, numerical-variable behavior, service and contract patterns, and correlations between numerical variables. Ten visualizations were created during the analysis. The most relevant visualizations for the Week 1 report are summarized below.</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File</w:t>
            </w:r>
          </w:p>
        </w:tc>
        <w:tc>
          <w:tcPr>
            <w:tcW w:type="dxa" w:w="3312"/>
            <w:shd w:fill="D9EAF7"/>
          </w:tcPr>
          <w:p>
            <w:r>
              <w:t>Visualization</w:t>
            </w:r>
          </w:p>
        </w:tc>
        <w:tc>
          <w:tcPr>
            <w:tcW w:type="dxa" w:w="3312"/>
            <w:shd w:fill="D9EAF7"/>
          </w:tcPr>
          <w:p>
            <w:r>
              <w:t>Purpose</w:t>
            </w:r>
          </w:p>
        </w:tc>
      </w:tr>
      <w:tr>
        <w:tc>
          <w:tcPr>
            <w:tcW w:type="dxa" w:w="3312"/>
          </w:tcPr>
          <w:p>
            <w:r>
              <w:t>01_churn_distribution.png</w:t>
            </w:r>
          </w:p>
        </w:tc>
        <w:tc>
          <w:tcPr>
            <w:tcW w:type="dxa" w:w="3312"/>
          </w:tcPr>
          <w:p>
            <w:r>
              <w:t>Churn Distribution</w:t>
            </w:r>
          </w:p>
        </w:tc>
        <w:tc>
          <w:tcPr>
            <w:tcW w:type="dxa" w:w="3312"/>
          </w:tcPr>
          <w:p>
            <w:r>
              <w:t>Shows the proportion of customers who stayed versus churned.</w:t>
            </w:r>
          </w:p>
        </w:tc>
      </w:tr>
      <w:tr>
        <w:tc>
          <w:tcPr>
            <w:tcW w:type="dxa" w:w="3312"/>
          </w:tcPr>
          <w:p>
            <w:r>
              <w:t>02_tenure_distribution.png</w:t>
            </w:r>
          </w:p>
        </w:tc>
        <w:tc>
          <w:tcPr>
            <w:tcW w:type="dxa" w:w="3312"/>
          </w:tcPr>
          <w:p>
            <w:r>
              <w:t>Tenure Distribution</w:t>
            </w:r>
          </w:p>
        </w:tc>
        <w:tc>
          <w:tcPr>
            <w:tcW w:type="dxa" w:w="3312"/>
          </w:tcPr>
          <w:p>
            <w:r>
              <w:t>Shows how long customers have remained with the company.</w:t>
            </w:r>
          </w:p>
        </w:tc>
      </w:tr>
      <w:tr>
        <w:tc>
          <w:tcPr>
            <w:tcW w:type="dxa" w:w="3312"/>
          </w:tcPr>
          <w:p>
            <w:r>
              <w:t>03_monthly_charges_distribution.png</w:t>
            </w:r>
          </w:p>
        </w:tc>
        <w:tc>
          <w:tcPr>
            <w:tcW w:type="dxa" w:w="3312"/>
          </w:tcPr>
          <w:p>
            <w:r>
              <w:t>Monthly Charges Distribution</w:t>
            </w:r>
          </w:p>
        </w:tc>
        <w:tc>
          <w:tcPr>
            <w:tcW w:type="dxa" w:w="3312"/>
          </w:tcPr>
          <w:p>
            <w:r>
              <w:t>Shows the distribution of customers' monthly charges.</w:t>
            </w:r>
          </w:p>
        </w:tc>
      </w:tr>
      <w:tr>
        <w:tc>
          <w:tcPr>
            <w:tcW w:type="dxa" w:w="3312"/>
          </w:tcPr>
          <w:p>
            <w:r>
              <w:t>05_contract_vs_churn.png</w:t>
            </w:r>
          </w:p>
        </w:tc>
        <w:tc>
          <w:tcPr>
            <w:tcW w:type="dxa" w:w="3312"/>
          </w:tcPr>
          <w:p>
            <w:r>
              <w:t>Contract Type vs Churn</w:t>
            </w:r>
          </w:p>
        </w:tc>
        <w:tc>
          <w:tcPr>
            <w:tcW w:type="dxa" w:w="3312"/>
          </w:tcPr>
          <w:p>
            <w:r>
              <w:t>Compares churn status across month-to-month, one-year and two-year contracts.</w:t>
            </w:r>
          </w:p>
        </w:tc>
      </w:tr>
      <w:tr>
        <w:tc>
          <w:tcPr>
            <w:tcW w:type="dxa" w:w="3312"/>
          </w:tcPr>
          <w:p>
            <w:r>
              <w:t>07_payment_method_vs_churn.png</w:t>
            </w:r>
          </w:p>
        </w:tc>
        <w:tc>
          <w:tcPr>
            <w:tcW w:type="dxa" w:w="3312"/>
          </w:tcPr>
          <w:p>
            <w:r>
              <w:t>Payment Method vs Churn</w:t>
            </w:r>
          </w:p>
        </w:tc>
        <w:tc>
          <w:tcPr>
            <w:tcW w:type="dxa" w:w="3312"/>
          </w:tcPr>
          <w:p>
            <w:r>
              <w:t>Explores churn patterns across payment methods.</w:t>
            </w:r>
          </w:p>
        </w:tc>
      </w:tr>
      <w:tr>
        <w:tc>
          <w:tcPr>
            <w:tcW w:type="dxa" w:w="3312"/>
          </w:tcPr>
          <w:p>
            <w:r>
              <w:t>09_correlation_heatmap.png</w:t>
            </w:r>
          </w:p>
        </w:tc>
        <w:tc>
          <w:tcPr>
            <w:tcW w:type="dxa" w:w="3312"/>
          </w:tcPr>
          <w:p>
            <w:r>
              <w:t>Correlation Heatmap</w:t>
            </w:r>
          </w:p>
        </w:tc>
        <w:tc>
          <w:tcPr>
            <w:tcW w:type="dxa" w:w="3312"/>
          </w:tcPr>
          <w:p>
            <w:r>
              <w:t>Shows linear correlations among key numerical variables.</w:t>
            </w:r>
          </w:p>
        </w:tc>
      </w:tr>
    </w:tbl>
    <w:p>
      <w:pPr>
        <w:pStyle w:val="Heading1"/>
      </w:pPr>
      <w:r>
        <w:t>7. Key Findings</w:t>
      </w:r>
    </w:p>
    <w:p>
      <w:pPr>
        <w:pStyle w:val="Heading2"/>
      </w:pPr>
      <w:r>
        <w:t>7.1 Overall Churn Distribution</w:t>
      </w:r>
    </w:p>
    <w:p>
      <w:r>
        <w:t>The cleaned dataset contains 5,163 customers who did not churn and 1,869 customers who churned. This corresponds to 73.42% non-churn and 26.58% churn. Thus, roughly one quarter of the customers in the analytical dataset were classified as churned.</w:t>
      </w:r>
    </w:p>
    <w:p>
      <w:pPr>
        <w:pStyle w:val="Heading2"/>
      </w:pPr>
      <w:r>
        <w:t>7.2 Tenure and Charges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Stayed (No Churn)</w:t>
            </w:r>
          </w:p>
        </w:tc>
        <w:tc>
          <w:tcPr>
            <w:tcW w:type="dxa" w:w="3312"/>
            <w:shd w:fill="D9EAF7"/>
          </w:tcPr>
          <w:p>
            <w:r>
              <w:t>Churned</w:t>
            </w:r>
          </w:p>
        </w:tc>
      </w:tr>
      <w:tr>
        <w:tc>
          <w:tcPr>
            <w:tcW w:type="dxa" w:w="3312"/>
          </w:tcPr>
          <w:p>
            <w:r>
              <w:t>Average tenure</w:t>
            </w:r>
          </w:p>
        </w:tc>
        <w:tc>
          <w:tcPr>
            <w:tcW w:type="dxa" w:w="3312"/>
          </w:tcPr>
          <w:p>
            <w:r>
              <w:t>37.65 months</w:t>
            </w:r>
          </w:p>
        </w:tc>
        <w:tc>
          <w:tcPr>
            <w:tcW w:type="dxa" w:w="3312"/>
          </w:tcPr>
          <w:p>
            <w:r>
              <w:t>17.98 months</w:t>
            </w:r>
          </w:p>
        </w:tc>
      </w:tr>
      <w:tr>
        <w:tc>
          <w:tcPr>
            <w:tcW w:type="dxa" w:w="3312"/>
          </w:tcPr>
          <w:p>
            <w:r>
              <w:t>Average MonthlyCharges</w:t>
            </w:r>
          </w:p>
        </w:tc>
        <w:tc>
          <w:tcPr>
            <w:tcW w:type="dxa" w:w="3312"/>
          </w:tcPr>
          <w:p>
            <w:r>
              <w:t>61.31</w:t>
            </w:r>
          </w:p>
        </w:tc>
        <w:tc>
          <w:tcPr>
            <w:tcW w:type="dxa" w:w="3312"/>
          </w:tcPr>
          <w:p>
            <w:r>
              <w:t>74.44</w:t>
            </w:r>
          </w:p>
        </w:tc>
      </w:tr>
      <w:tr>
        <w:tc>
          <w:tcPr>
            <w:tcW w:type="dxa" w:w="3312"/>
          </w:tcPr>
          <w:p>
            <w:r>
              <w:t>Average TotalCharges</w:t>
            </w:r>
          </w:p>
        </w:tc>
        <w:tc>
          <w:tcPr>
            <w:tcW w:type="dxa" w:w="3312"/>
          </w:tcPr>
          <w:p>
            <w:r>
              <w:t>2555.34</w:t>
            </w:r>
          </w:p>
        </w:tc>
        <w:tc>
          <w:tcPr>
            <w:tcW w:type="dxa" w:w="3312"/>
          </w:tcPr>
          <w:p>
            <w:r>
              <w:t>1531.80</w:t>
            </w:r>
          </w:p>
        </w:tc>
      </w:tr>
    </w:tbl>
    <w:p>
      <w:r>
        <w:t>Churned customers had substantially lower average tenure and higher average monthly charges than customers who stayed. Their lower average total charges are consistent with their shorter customer tenure. These are descriptive observations and do not by themselves establish causation.</w:t>
      </w:r>
    </w:p>
    <w:p>
      <w:pPr>
        <w:pStyle w:val="Heading2"/>
      </w:pPr>
      <w:r>
        <w:t>7.3 Contract Type and Churn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Contract</w:t>
            </w:r>
          </w:p>
        </w:tc>
        <w:tc>
          <w:tcPr>
            <w:tcW w:type="dxa" w:w="3312"/>
            <w:shd w:fill="D9EAF7"/>
          </w:tcPr>
          <w:p>
            <w:r>
              <w:t>No Churn (%)</w:t>
            </w:r>
          </w:p>
        </w:tc>
        <w:tc>
          <w:tcPr>
            <w:tcW w:type="dxa" w:w="3312"/>
            <w:shd w:fill="D9EAF7"/>
          </w:tcPr>
          <w:p>
            <w:r>
              <w:t>Churn (%)</w:t>
            </w:r>
          </w:p>
        </w:tc>
      </w:tr>
      <w:tr>
        <w:tc>
          <w:tcPr>
            <w:tcW w:type="dxa" w:w="3312"/>
          </w:tcPr>
          <w:p>
            <w:r>
              <w:t>Month-to-month</w:t>
            </w:r>
          </w:p>
        </w:tc>
        <w:tc>
          <w:tcPr>
            <w:tcW w:type="dxa" w:w="3312"/>
          </w:tcPr>
          <w:p>
            <w:r>
              <w:t>57.29</w:t>
            </w:r>
          </w:p>
        </w:tc>
        <w:tc>
          <w:tcPr>
            <w:tcW w:type="dxa" w:w="3312"/>
          </w:tcPr>
          <w:p>
            <w:r>
              <w:t>42.71</w:t>
            </w:r>
          </w:p>
        </w:tc>
      </w:tr>
      <w:tr>
        <w:tc>
          <w:tcPr>
            <w:tcW w:type="dxa" w:w="3312"/>
          </w:tcPr>
          <w:p>
            <w:r>
              <w:t>One year</w:t>
            </w:r>
          </w:p>
        </w:tc>
        <w:tc>
          <w:tcPr>
            <w:tcW w:type="dxa" w:w="3312"/>
          </w:tcPr>
          <w:p>
            <w:r>
              <w:t>88.72</w:t>
            </w:r>
          </w:p>
        </w:tc>
        <w:tc>
          <w:tcPr>
            <w:tcW w:type="dxa" w:w="3312"/>
          </w:tcPr>
          <w:p>
            <w:r>
              <w:t>11.28</w:t>
            </w:r>
          </w:p>
        </w:tc>
      </w:tr>
      <w:tr>
        <w:tc>
          <w:tcPr>
            <w:tcW w:type="dxa" w:w="3312"/>
          </w:tcPr>
          <w:p>
            <w:r>
              <w:t>Two year</w:t>
            </w:r>
          </w:p>
        </w:tc>
        <w:tc>
          <w:tcPr>
            <w:tcW w:type="dxa" w:w="3312"/>
          </w:tcPr>
          <w:p>
            <w:r>
              <w:t>97.15</w:t>
            </w:r>
          </w:p>
        </w:tc>
        <w:tc>
          <w:tcPr>
            <w:tcW w:type="dxa" w:w="3312"/>
          </w:tcPr>
          <w:p>
            <w:r>
              <w:t>2.85</w:t>
            </w:r>
          </w:p>
        </w:tc>
      </w:tr>
    </w:tbl>
    <w:p>
      <w:r>
        <w:t>Contract type shows a clear descriptive difference in the dataset. Month-to-month customers represent a much larger share of churned customers than customers with one-year or two-year contracts. This relationship will be examined more formally in later statistical analysis.</w:t>
      </w:r>
    </w:p>
    <w:p>
      <w:pPr>
        <w:pStyle w:val="Heading2"/>
      </w:pPr>
      <w:r>
        <w:t>7.4 Correlation Analysis</w:t>
      </w:r>
    </w:p>
    <w:tbl>
      <w:tblPr>
        <w:tblStyle w:val="TableGrid"/>
        <w:tblW w:type="auto" w:w="0"/>
        <w:tblLook w:firstColumn="1" w:firstRow="1" w:lastColumn="0" w:lastRow="0" w:noHBand="0" w:noVBand="1" w:val="04A0"/>
      </w:tblPr>
      <w:tblGrid>
        <w:gridCol w:w="4968"/>
        <w:gridCol w:w="4968"/>
      </w:tblGrid>
      <w:tr>
        <w:tc>
          <w:tcPr>
            <w:tcW w:type="dxa" w:w="4968"/>
            <w:shd w:fill="D9EAF7"/>
          </w:tcPr>
          <w:p>
            <w:r>
              <w:t>Variable Pair</w:t>
            </w:r>
          </w:p>
        </w:tc>
        <w:tc>
          <w:tcPr>
            <w:tcW w:type="dxa" w:w="4968"/>
            <w:shd w:fill="D9EAF7"/>
          </w:tcPr>
          <w:p>
            <w:r>
              <w:t>Correlation</w:t>
            </w:r>
          </w:p>
        </w:tc>
      </w:tr>
      <w:tr>
        <w:tc>
          <w:tcPr>
            <w:tcW w:type="dxa" w:w="4968"/>
          </w:tcPr>
          <w:p>
            <w:r>
              <w:t>Tenure – TotalCharges</w:t>
            </w:r>
          </w:p>
        </w:tc>
        <w:tc>
          <w:tcPr>
            <w:tcW w:type="dxa" w:w="4968"/>
          </w:tcPr>
          <w:p>
            <w:r>
              <w:t>0.83</w:t>
            </w:r>
          </w:p>
        </w:tc>
      </w:tr>
      <w:tr>
        <w:tc>
          <w:tcPr>
            <w:tcW w:type="dxa" w:w="4968"/>
          </w:tcPr>
          <w:p>
            <w:r>
              <w:t>MonthlyCharges – TotalCharges</w:t>
            </w:r>
          </w:p>
        </w:tc>
        <w:tc>
          <w:tcPr>
            <w:tcW w:type="dxa" w:w="4968"/>
          </w:tcPr>
          <w:p>
            <w:r>
              <w:t>0.65</w:t>
            </w:r>
          </w:p>
        </w:tc>
      </w:tr>
      <w:tr>
        <w:tc>
          <w:tcPr>
            <w:tcW w:type="dxa" w:w="4968"/>
          </w:tcPr>
          <w:p>
            <w:r>
              <w:t>Tenure – MonthlyCharges</w:t>
            </w:r>
          </w:p>
        </w:tc>
        <w:tc>
          <w:tcPr>
            <w:tcW w:type="dxa" w:w="4968"/>
          </w:tcPr>
          <w:p>
            <w:r>
              <w:t>0.25</w:t>
            </w:r>
          </w:p>
        </w:tc>
      </w:tr>
      <w:tr>
        <w:tc>
          <w:tcPr>
            <w:tcW w:type="dxa" w:w="4968"/>
          </w:tcPr>
          <w:p>
            <w:r>
              <w:t>SeniorCitizen – MonthlyCharges</w:t>
            </w:r>
          </w:p>
        </w:tc>
        <w:tc>
          <w:tcPr>
            <w:tcW w:type="dxa" w:w="4968"/>
          </w:tcPr>
          <w:p>
            <w:r>
              <w:t>0.22</w:t>
            </w:r>
          </w:p>
        </w:tc>
      </w:tr>
      <w:tr>
        <w:tc>
          <w:tcPr>
            <w:tcW w:type="dxa" w:w="4968"/>
          </w:tcPr>
          <w:p>
            <w:r>
              <w:t>SeniorCitizen – tenure</w:t>
            </w:r>
          </w:p>
        </w:tc>
        <w:tc>
          <w:tcPr>
            <w:tcW w:type="dxa" w:w="4968"/>
          </w:tcPr>
          <w:p>
            <w:r>
              <w:t>0.02</w:t>
            </w:r>
          </w:p>
        </w:tc>
      </w:tr>
    </w:tbl>
    <w:p>
      <w:r>
        <w:t>The strongest observed correlation was between tenure and TotalCharges (0.83), followed by MonthlyCharges and TotalCharges (0.65). These relationships are intuitive because longer customer relationships can lead to greater accumulated charges. Correlation measures linear association and should not be interpreted as proof of causation.</w:t>
      </w:r>
    </w:p>
    <w:p>
      <w:pPr>
        <w:pStyle w:val="Heading1"/>
      </w:pPr>
      <w:r>
        <w:t>8. Methodology Summary</w:t>
      </w:r>
    </w:p>
    <w:p>
      <w:pPr>
        <w:pStyle w:val="ListBullet"/>
      </w:pPr>
      <w:r>
        <w:t>Acquire the public Telco Customer Churn dataset.</w:t>
      </w:r>
    </w:p>
    <w:p>
      <w:pPr>
        <w:pStyle w:val="ListBullet"/>
      </w:pPr>
      <w:r>
        <w:t>Inspect dimensions, columns, data types, missing values and duplicates.</w:t>
      </w:r>
    </w:p>
    <w:p>
      <w:pPr>
        <w:pStyle w:val="ListBullet"/>
      </w:pPr>
      <w:r>
        <w:t>Standardize whitespace in text columns.</w:t>
      </w:r>
    </w:p>
    <w:p>
      <w:pPr>
        <w:pStyle w:val="ListBullet"/>
      </w:pPr>
      <w:r>
        <w:t>Convert TotalCharges and other numerical fields to appropriate numeric types.</w:t>
      </w:r>
    </w:p>
    <w:p>
      <w:pPr>
        <w:pStyle w:val="ListBullet"/>
      </w:pPr>
      <w:r>
        <w:t>Remove records with missing essential numerical values.</w:t>
      </w:r>
    </w:p>
    <w:p>
      <w:pPr>
        <w:pStyle w:val="ListBullet"/>
      </w:pPr>
      <w:r>
        <w:t>Save a separate cleaned dataset.</w:t>
      </w:r>
    </w:p>
    <w:p>
      <w:pPr>
        <w:pStyle w:val="ListBullet"/>
      </w:pPr>
      <w:r>
        <w:t>Perform univariate and bivariate exploratory analysis.</w:t>
      </w:r>
    </w:p>
    <w:p>
      <w:pPr>
        <w:pStyle w:val="ListBullet"/>
      </w:pPr>
      <w:r>
        <w:t>Create distribution plots, categorical comparisons, scatter plots and a correlation heatmap.</w:t>
      </w:r>
    </w:p>
    <w:p>
      <w:pPr>
        <w:pStyle w:val="ListBullet"/>
      </w:pPr>
      <w:r>
        <w:t>Interpret patterns and identify variables for further statistical and predictive analysis.</w:t>
      </w:r>
    </w:p>
    <w:p>
      <w:pPr>
        <w:pStyle w:val="Heading1"/>
      </w:pPr>
      <w:r>
        <w:t>9. Business/Research Relevance</w:t>
      </w:r>
    </w:p>
    <w:p>
      <w:r>
        <w:t>Understanding customer churn can help organizations identify customer groups that may require additional attention. The Week 1 analysis highlights tenure, monthly charges and contract type as useful variables for deeper investigation. These observations can guide the next stages of the project, where statistical tests will assess whether selected relationships are statistically significant and machine-learning models will evaluate whether customer churn can be predicted.</w:t>
      </w:r>
    </w:p>
    <w:p>
      <w:pPr>
        <w:pStyle w:val="Heading1"/>
      </w:pPr>
      <w:r>
        <w:t>10. Limitations of Week 1 Analysis</w:t>
      </w:r>
    </w:p>
    <w:p>
      <w:pPr>
        <w:pStyle w:val="ListBullet"/>
      </w:pPr>
      <w:r>
        <w:t>EDA identifies patterns but does not establish causal relationships.</w:t>
      </w:r>
    </w:p>
    <w:p>
      <w:pPr>
        <w:pStyle w:val="ListBullet"/>
      </w:pPr>
      <w:r>
        <w:t>The dataset represents a specific telecom customer population and may not generalize to every business.</w:t>
      </w:r>
    </w:p>
    <w:p>
      <w:pPr>
        <w:pStyle w:val="ListBullet"/>
      </w:pPr>
      <w:r>
        <w:t>Churn is an imbalanced target, with 26.58% churn versus 73.42% non-churn.</w:t>
      </w:r>
    </w:p>
    <w:p>
      <w:pPr>
        <w:pStyle w:val="ListBullet"/>
      </w:pPr>
      <w:r>
        <w:t>Some categorical relationships require formal statistical testing before drawing stronger conclusions.</w:t>
      </w:r>
    </w:p>
    <w:p>
      <w:pPr>
        <w:pStyle w:val="ListBullet"/>
      </w:pPr>
      <w:r>
        <w:t>Predictive performance cannot be assessed from EDA alone.</w:t>
      </w:r>
    </w:p>
    <w:p>
      <w:pPr>
        <w:pStyle w:val="Heading1"/>
      </w:pPr>
      <w:r>
        <w:t>11. Conclusion</w:t>
      </w:r>
    </w:p>
    <w:p>
      <w:r>
        <w:t>The Week 1 task successfully completed the data acquisition, cleaning and exploratory analysis stage of the Customer Churn Analysis and Prediction project. After preprocessing, 7,032 customer records across 21 variables were available for analysis. The EDA showed that 26.58% of customers were classified as churned. Churned customers had lower average tenure and higher average monthly charges than customers who stayed. Contract type also displayed a substantial descriptive difference, with month-to-month customers representing 42.71% churn compared with 11.28% for one-year contracts and 2.85% for two-year contracts. Correlation analysis showed a strong positive association between tenure and TotalCharges. These findings provide a strong foundation for Week 2 visualization and storytelling, Week 3 hypothesis testing, and Week 4 predictive modeling.</w:t>
      </w:r>
    </w:p>
    <w:p>
      <w:pPr>
        <w:pStyle w:val="Heading1"/>
      </w:pPr>
      <w:r>
        <w:t>12. Project Structure</w:t>
      </w:r>
    </w:p>
    <w:p>
      <w:pPr>
        <w:ind w:left="360"/>
      </w:pPr>
      <w:r>
        <w:rPr>
          <w:rFonts w:ascii="Consolas" w:hAnsi="Consolas"/>
          <w:sz w:val="17"/>
        </w:rPr>
        <w:t>Customer-Churn-Data-Science/</w:t>
        <w:br/>
        <w:t>├── data/</w:t>
        <w:br/>
        <w:t>│   ├── raw/</w:t>
        <w:br/>
        <w:t>│   │   └── Telco-Customer-Churn.csv</w:t>
        <w:br/>
        <w:t>│   └── processed/</w:t>
        <w:br/>
        <w:t>│       └── Telco-Customer-Churn-Cleaned.csv</w:t>
        <w:br/>
        <w:t>├── notebooks/</w:t>
        <w:br/>
        <w:t>│   └── Week1_EDA.ipynb</w:t>
        <w:br/>
        <w:t>├── visualizations/</w:t>
        <w:br/>
        <w:t>├── reports/</w:t>
        <w:br/>
        <w:t>├── src/</w:t>
        <w:br/>
        <w:t>├── requirements.txt</w:t>
        <w:br/>
        <w:t>└── README.md</w:t>
      </w:r>
    </w:p>
    <w:p>
      <w:pPr>
        <w:pStyle w:val="Heading1"/>
      </w:pPr>
      <w:r>
        <w:t>13. Week 1 Deliverables Checklist</w:t>
      </w:r>
    </w:p>
    <w:p>
      <w:pPr>
        <w:pStyle w:val="ListBullet"/>
      </w:pPr>
      <w:r>
        <w:t>Public dataset acquired and stored locally.</w:t>
      </w:r>
    </w:p>
    <w:p>
      <w:pPr>
        <w:pStyle w:val="ListBullet"/>
      </w:pPr>
      <w:r>
        <w:t>Data cleaning completed.</w:t>
      </w:r>
    </w:p>
    <w:p>
      <w:pPr>
        <w:pStyle w:val="ListBullet"/>
      </w:pPr>
      <w:r>
        <w:t>Processed CSV generated.</w:t>
      </w:r>
    </w:p>
    <w:p>
      <w:pPr>
        <w:pStyle w:val="ListBullet"/>
      </w:pPr>
      <w:r>
        <w:t>EDA performed using Python.</w:t>
      </w:r>
    </w:p>
    <w:p>
      <w:pPr>
        <w:pStyle w:val="ListBullet"/>
      </w:pPr>
      <w:r>
        <w:t>Ten visualizations created.</w:t>
      </w:r>
    </w:p>
    <w:p>
      <w:pPr>
        <w:pStyle w:val="ListBullet"/>
      </w:pPr>
      <w:r>
        <w:t>Key numerical and categorical patterns identified.</w:t>
      </w:r>
    </w:p>
    <w:p>
      <w:pPr>
        <w:pStyle w:val="ListBullet"/>
      </w:pPr>
      <w:r>
        <w:t>Correlation analysis completed.</w:t>
      </w:r>
    </w:p>
    <w:p>
      <w:pPr>
        <w:pStyle w:val="ListBullet"/>
      </w:pPr>
      <w:r>
        <w:t>Professional Week 1 report prepared.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Virtual Data Science with Python Apprentice Intern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