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List of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740"/>
        <w:gridCol w:w="3030"/>
        <w:tblGridChange w:id="0">
          <w:tblGrid>
            <w:gridCol w:w="3120"/>
            <w:gridCol w:w="474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Name /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Organization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(+/-/Neutral)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NewYork Health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Competitors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GlobeAtNight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Stars4all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Campaign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Volunteers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International Associations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DarkSky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Illumination Engineering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Society (IES)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Professor Leon Herszon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Rutgers Business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Government Organizations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NYC DOT (Department of Transportation)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NYC DEP (Department of Environmental Protection)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NYC DEC (Department of Environmental Conservation)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Investors/Fundraising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Angel Investors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Suppliers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SMART lighting companies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Animal Rights 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E957D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XTFndR7JN+Rwna3qJ0ugZuWgkw==">AMUW2mXCebXqm93x+5aeFKr1IFemMnd+wL+DgS8ROhNC+TjIs0o0+y/wgQU49vRiPBfBoC800TkyjMX1B7op7VdbS9GTrYq0pGvjAWvb1EcV52O/76HYmW4=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2022-04-25T02:21:00Z</dcterms:created>
</cp:coreProperties>
</file>