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ormorant Garamond" w:hAnsi="Cormorant Garamond"/>
          <w:b w:val="0"/>
          <w:color w:val="171717"/>
          <w:sz w:val="40"/>
        </w:rPr>
        <w:t>Bhagyashri Kachare (Joshi)</w:t>
      </w:r>
    </w:p>
    <w:p>
      <w:pPr>
        <w:spacing w:after="80"/>
        <w:jc w:val="center"/>
      </w:pPr>
      <w:r>
        <w:rPr>
          <w:rFonts w:ascii="Inter" w:hAnsi="Inter"/>
          <w:color w:val="5A5A5A"/>
          <w:sz w:val="19"/>
        </w:rPr>
        <w:t>Operations Integration &amp; Delivery Governance Consultant — Production Support / AMS Transition</w:t>
      </w:r>
    </w:p>
    <w:p>
      <w:pPr>
        <w:spacing w:after="200"/>
        <w:jc w:val="center"/>
      </w:pPr>
      <w:r>
        <w:rPr>
          <w:rFonts w:ascii="Inter" w:hAnsi="Inter"/>
          <w:color w:val="5A5A5A"/>
          <w:sz w:val="15"/>
        </w:rPr>
        <w:t>Pune, Maharashtra, India  ·  bkachare@gmail.com  ·  +91 98508 99140  ·  linkedin.com/in/bhagyashri-kachare-joshi-ab091831  ·  github.com/Bhagyashri-Kachare/Bhagyashri-Kachare-Joshi</w:t>
      </w:r>
    </w:p>
    <w:p>
      <w:pPr>
        <w:pStyle w:val="Heading1"/>
        <w:spacing w:after="40" w:before="120"/>
        <w:jc w:val="left"/>
        <w:pBdr>
          <w:bottom w:val="single" w:sz="12" w:color="171717"/>
        </w:pBdr>
      </w:pPr>
      <w:r>
        <w:rPr>
          <w:rFonts w:ascii="Cormorant Garamond" w:hAnsi="Cormorant Garamond"/>
          <w:b w:val="0"/>
          <w:color w:val="171717"/>
          <w:sz w:val="28"/>
        </w:rPr>
        <w:t>Professional Summary</w:t>
      </w:r>
    </w:p>
    <w:p>
      <w:pPr>
        <w:spacing w:after="60" w:line="276" w:lineRule="auto"/>
      </w:pPr>
      <w:r>
        <w:rPr>
          <w:rFonts w:ascii="Inter" w:hAnsi="Inter"/>
          <w:color w:val="171717"/>
          <w:sz w:val="20"/>
        </w:rPr>
        <w:t>Operations and delivery professional with 7+ years across production support, service operations, and delivery governance at Capgemini and Wipro BPO. Proven experience driving operational readiness, support-model onboarding, runbook and playbook development, knowledge transfer, hypercare and stabilization coordination, and SLA-driven incident, problem, and change management in enterprise environments. Strong ITIL-aligned service management foundation, stakeholder alignment across engineering, operations, infrastructure, and business teams, and hands-on use of AI to accelerate operational reporting and readiness documentation. Certified Scrum Master (CSM), bilingual English / Marathi, Pune-based. Open to Operations Integration / AMS Transition / Service Governance roles in Pune.</w:t>
      </w:r>
    </w:p>
    <w:p>
      <w:pPr>
        <w:pStyle w:val="Heading1"/>
        <w:spacing w:after="40" w:before="120"/>
        <w:jc w:val="left"/>
        <w:pBdr>
          <w:bottom w:val="single" w:sz="12" w:color="171717"/>
        </w:pBdr>
      </w:pPr>
      <w:r>
        <w:rPr>
          <w:rFonts w:ascii="Cormorant Garamond" w:hAnsi="Cormorant Garamond"/>
          <w:b w:val="0"/>
          <w:color w:val="171717"/>
          <w:sz w:val="28"/>
        </w:rPr>
        <w:t>Core Competencies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893"/>
            <w:shd w:fill="F7F7F0"/>
          </w:tcPr>
          <w:p>
            <w:pPr>
              <w:spacing w:after="20"/>
            </w:pPr>
            <w:r>
              <w:rPr>
                <w:rFonts w:ascii="Inter" w:hAnsi="Inter"/>
                <w:b/>
                <w:color w:val="171717"/>
                <w:sz w:val="18"/>
              </w:rPr>
              <w:t>Service Operations &amp; Readiness</w:t>
            </w:r>
          </w:p>
          <w:p>
            <w:pPr>
              <w:spacing w:after="60"/>
            </w:pPr>
            <w:r>
              <w:rPr>
                <w:rFonts w:ascii="Inter" w:hAnsi="Inter"/>
                <w:color w:val="5A5A5A"/>
                <w:sz w:val="16"/>
              </w:rPr>
              <w:t>Operational readiness reviews · AMS transition · Playbook / runbook · Go-live governance · ITIL-aligned service management · SLA compliance</w:t>
            </w:r>
          </w:p>
        </w:tc>
      </w:tr>
      <w:tr>
        <w:tc>
          <w:tcPr>
            <w:tcW w:type="dxa" w:w="9893"/>
            <w:shd w:fill="F7F7F0"/>
          </w:tcPr>
          <w:p>
            <w:pPr>
              <w:spacing w:after="20"/>
            </w:pPr>
            <w:r>
              <w:rPr>
                <w:rFonts w:ascii="Inter" w:hAnsi="Inter"/>
                <w:b/>
                <w:color w:val="171717"/>
                <w:sz w:val="18"/>
              </w:rPr>
              <w:t>Knowledge Transfer &amp; Team Enablement</w:t>
            </w:r>
          </w:p>
          <w:p>
            <w:pPr>
              <w:spacing w:after="60"/>
            </w:pPr>
            <w:r>
              <w:rPr>
                <w:rFonts w:ascii="Inter" w:hAnsi="Inter"/>
                <w:color w:val="5A5A5A"/>
                <w:sz w:val="16"/>
              </w:rPr>
              <w:t>KT frameworks · Coaching (8 PMs) · AI-augmented docs · Post-mortem / continuous improvement</w:t>
            </w:r>
          </w:p>
        </w:tc>
      </w:tr>
      <w:tr>
        <w:tc>
          <w:tcPr>
            <w:tcW w:type="dxa" w:w="9893"/>
            <w:shd w:fill="F7F7F0"/>
          </w:tcPr>
          <w:p>
            <w:pPr>
              <w:spacing w:after="20"/>
            </w:pPr>
            <w:r>
              <w:rPr>
                <w:rFonts w:ascii="Inter" w:hAnsi="Inter"/>
                <w:b/>
                <w:color w:val="171717"/>
                <w:sz w:val="18"/>
              </w:rPr>
              <w:t>Process &amp; Documentation</w:t>
            </w:r>
          </w:p>
          <w:p>
            <w:pPr>
              <w:spacing w:after="60"/>
            </w:pPr>
            <w:r>
              <w:rPr>
                <w:rFonts w:ascii="Inter" w:hAnsi="Inter"/>
                <w:color w:val="5A5A5A"/>
                <w:sz w:val="16"/>
              </w:rPr>
              <w:t>Runbooks · Playbooks · Vendor-selection frameworks · Process architecture · Risk identification &amp; mitigation</w:t>
            </w:r>
          </w:p>
        </w:tc>
      </w:tr>
      <w:tr>
        <w:tc>
          <w:tcPr>
            <w:tcW w:type="dxa" w:w="9893"/>
            <w:shd w:fill="F7F7F0"/>
          </w:tcPr>
          <w:p>
            <w:pPr>
              <w:spacing w:after="20"/>
            </w:pPr>
            <w:r>
              <w:rPr>
                <w:rFonts w:ascii="Inter" w:hAnsi="Inter"/>
                <w:b/>
                <w:color w:val="171717"/>
                <w:sz w:val="18"/>
              </w:rPr>
              <w:t>Stakeholder Alignment (EN / MR)</w:t>
            </w:r>
          </w:p>
          <w:p>
            <w:pPr>
              <w:spacing w:after="60"/>
            </w:pPr>
            <w:r>
              <w:rPr>
                <w:rFonts w:ascii="Inter" w:hAnsi="Inter"/>
                <w:color w:val="5A5A5A"/>
                <w:sz w:val="16"/>
              </w:rPr>
              <w:t>C-level / cross-functional · Engineering / operations / vendor / security · Bilingual (English / Marathi)</w:t>
            </w:r>
          </w:p>
        </w:tc>
      </w:tr>
      <w:tr>
        <w:tc>
          <w:tcPr>
            <w:tcW w:type="dxa" w:w="9893"/>
            <w:shd w:fill="F7F7F0"/>
          </w:tcPr>
          <w:p>
            <w:pPr>
              <w:spacing w:after="20"/>
            </w:pPr>
            <w:r>
              <w:rPr>
                <w:rFonts w:ascii="Inter" w:hAnsi="Inter"/>
                <w:b/>
                <w:color w:val="171717"/>
                <w:sz w:val="18"/>
              </w:rPr>
              <w:t>Data Tools &amp; AI</w:t>
            </w:r>
          </w:p>
          <w:p>
            <w:pPr>
              <w:spacing w:after="60"/>
            </w:pPr>
            <w:r>
              <w:rPr>
                <w:rFonts w:ascii="Inter" w:hAnsi="Inter"/>
                <w:color w:val="5A5A5A"/>
                <w:sz w:val="16"/>
              </w:rPr>
              <w:t>ServiceNow · Jira · SMART · GTD · E-Monitoring · Excel (Advanced) · ChatGPT / Copilot / Notion AI</w:t>
            </w:r>
          </w:p>
        </w:tc>
      </w:tr>
      <w:tr>
        <w:tc>
          <w:tcPr>
            <w:tcW w:type="dxa" w:w="9893"/>
            <w:shd w:fill="F7F7F0"/>
          </w:tcPr>
          <w:p>
            <w:pPr>
              <w:spacing w:after="20"/>
            </w:pPr>
            <w:r>
              <w:rPr>
                <w:rFonts w:ascii="Inter" w:hAnsi="Inter"/>
                <w:b/>
                <w:color w:val="171717"/>
                <w:sz w:val="18"/>
              </w:rPr>
              <w:t>Governance &amp; Control</w:t>
            </w:r>
          </w:p>
          <w:p>
            <w:pPr>
              <w:spacing w:after="60"/>
            </w:pPr>
            <w:r>
              <w:rPr>
                <w:rFonts w:ascii="Inter" w:hAnsi="Inter"/>
                <w:color w:val="5A5A5A"/>
                <w:sz w:val="16"/>
              </w:rPr>
              <w:t>Budgeting · Invoicing · Forecasting · Escalation frameworks · Conflict resolution · Delivery metrics</w:t>
            </w:r>
          </w:p>
        </w:tc>
      </w:tr>
    </w:tbl>
    <w:p/>
    <w:p>
      <w:pPr>
        <w:pStyle w:val="Heading1"/>
        <w:spacing w:after="40" w:before="120"/>
        <w:jc w:val="left"/>
        <w:pBdr>
          <w:bottom w:val="single" w:sz="12" w:color="171717"/>
        </w:pBdr>
      </w:pPr>
      <w:r>
        <w:rPr>
          <w:rFonts w:ascii="Cormorant Garamond" w:hAnsi="Cormorant Garamond"/>
          <w:b w:val="0"/>
          <w:color w:val="171717"/>
          <w:sz w:val="28"/>
        </w:rPr>
        <w:t>Professional Experience</w:t>
      </w:r>
    </w:p>
    <w:p>
      <w:pPr>
        <w:spacing w:after="40"/>
      </w:pPr>
      <w:r>
        <w:rPr>
          <w:rFonts w:ascii="Inter" w:hAnsi="Inter"/>
          <w:b/>
          <w:color w:val="171717"/>
          <w:sz w:val="21"/>
        </w:rPr>
        <w:t>Lead PMO — Insurance Client / GCC Scale  |  Capgemini Technology Services India Ltd.</w:t>
      </w:r>
    </w:p>
    <w:p>
      <w:pPr>
        <w:spacing w:after="60" w:before="0"/>
      </w:pPr>
      <w:r>
        <w:rPr>
          <w:rFonts w:ascii="Inter" w:hAnsi="Inter"/>
          <w:color w:val="5A5A5A"/>
          <w:sz w:val="17"/>
        </w:rPr>
        <w:t>Apr 2025 – Present · Pune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Own PMO governance and GCC setup/scaling for a global insurance client.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Stakeholder management at C-level; cross-functional collaboration with IT/security, operations, vendors.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Process architecture and documentation (LLD / playbooks); deliverable review and team coaching (8 PMs).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Risk identification and conflict resolution (&lt;48 hrs); invoicing tracking; AI-enhanced forecasting.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100% on-time delivery; financial accuracy maintained through structured budgeting and forecasting.</w:t>
      </w:r>
    </w:p>
    <w:p>
      <w:pPr>
        <w:spacing w:after="120"/>
      </w:pPr>
      <w:r>
        <w:rPr>
          <w:rFonts w:ascii="Inter" w:hAnsi="Inter"/>
          <w:color w:val="84847E"/>
          <w:sz w:val="14"/>
        </w:rPr>
        <w:t xml:space="preserve">  Insurance  </w:t>
      </w:r>
      <w:r>
        <w:rPr>
          <w:rFonts w:ascii="Inter" w:hAnsi="Inter"/>
          <w:color w:val="84847E"/>
          <w:sz w:val="14"/>
        </w:rPr>
        <w:t xml:space="preserve">  GCC Scaling  </w:t>
      </w:r>
      <w:r>
        <w:rPr>
          <w:rFonts w:ascii="Inter" w:hAnsi="Inter"/>
          <w:color w:val="84847E"/>
          <w:sz w:val="14"/>
        </w:rPr>
        <w:t xml:space="preserve">  Stakeholder Mgmt  </w:t>
      </w:r>
      <w:r>
        <w:rPr>
          <w:rFonts w:ascii="Inter" w:hAnsi="Inter"/>
          <w:color w:val="84847E"/>
          <w:sz w:val="14"/>
        </w:rPr>
        <w:t xml:space="preserve">  Process Design  </w:t>
      </w:r>
      <w:r>
        <w:rPr>
          <w:rFonts w:ascii="Inter" w:hAnsi="Inter"/>
          <w:color w:val="84847E"/>
          <w:sz w:val="14"/>
        </w:rPr>
        <w:t xml:space="preserve">  Team Coaching  </w:t>
      </w:r>
      <w:r>
        <w:rPr>
          <w:rFonts w:ascii="Inter" w:hAnsi="Inter"/>
          <w:color w:val="84847E"/>
          <w:sz w:val="14"/>
        </w:rPr>
        <w:t xml:space="preserve">  Risk  </w:t>
      </w:r>
      <w:r>
        <w:rPr>
          <w:rFonts w:ascii="Inter" w:hAnsi="Inter"/>
          <w:color w:val="84847E"/>
          <w:sz w:val="14"/>
        </w:rPr>
        <w:t xml:space="preserve">  Forecasting  </w:t>
      </w:r>
    </w:p>
    <w:p>
      <w:pPr>
        <w:spacing w:after="40"/>
      </w:pPr>
      <w:r>
        <w:rPr>
          <w:rFonts w:ascii="Inter" w:hAnsi="Inter"/>
          <w:b/>
          <w:color w:val="171717"/>
          <w:sz w:val="21"/>
        </w:rPr>
        <w:t>Lead PMO  |  Capgemini Technology Services India Ltd.</w:t>
      </w:r>
    </w:p>
    <w:p>
      <w:pPr>
        <w:spacing w:after="60" w:before="0"/>
      </w:pPr>
      <w:r>
        <w:rPr>
          <w:rFonts w:ascii="Inter" w:hAnsi="Inter"/>
          <w:color w:val="5A5A5A"/>
          <w:sz w:val="17"/>
        </w:rPr>
        <w:t>Jul 2022 – Mar 2024 · Pune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Established operational governance frameworks and standardized process methodologies for enterprise-scale programs.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Authored and validated onboarding playbooks, vendor-selection frameworks, and staffing models — foundation for new India GCC center.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Led KT to 8 PMs on AI-augmented risk identification and mitigation, reducing critical risks by 25%.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Coordinated delivery handovers, stakeholder alignment at executive level, and reporting governance across IT and operations.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Streamlined financial tracking and invoicing automation, reducing aging receivables by 30%.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Reduced status/readiness reporting time by 40% using AI-assisted drafting (ChatGPT / Copilot).</w:t>
      </w:r>
    </w:p>
    <w:p>
      <w:pPr>
        <w:spacing w:after="120"/>
      </w:pPr>
      <w:r>
        <w:rPr>
          <w:rFonts w:ascii="Inter" w:hAnsi="Inter"/>
          <w:color w:val="84847E"/>
          <w:sz w:val="14"/>
        </w:rPr>
        <w:t xml:space="preserve">  GCC Setup  </w:t>
      </w:r>
      <w:r>
        <w:rPr>
          <w:rFonts w:ascii="Inter" w:hAnsi="Inter"/>
          <w:color w:val="84847E"/>
          <w:sz w:val="14"/>
        </w:rPr>
        <w:t xml:space="preserve">  PMO Governance  </w:t>
      </w:r>
      <w:r>
        <w:rPr>
          <w:rFonts w:ascii="Inter" w:hAnsi="Inter"/>
          <w:color w:val="84847E"/>
          <w:sz w:val="14"/>
        </w:rPr>
        <w:t xml:space="preserve">  Stakeholder Mgmt  </w:t>
      </w:r>
      <w:r>
        <w:rPr>
          <w:rFonts w:ascii="Inter" w:hAnsi="Inter"/>
          <w:color w:val="84847E"/>
          <w:sz w:val="14"/>
        </w:rPr>
        <w:t xml:space="preserve">  Process Design  </w:t>
      </w:r>
      <w:r>
        <w:rPr>
          <w:rFonts w:ascii="Inter" w:hAnsi="Inter"/>
          <w:color w:val="84847E"/>
          <w:sz w:val="14"/>
        </w:rPr>
        <w:t xml:space="preserve">  AI Tools  </w:t>
      </w:r>
      <w:r>
        <w:rPr>
          <w:rFonts w:ascii="Inter" w:hAnsi="Inter"/>
          <w:color w:val="84847E"/>
          <w:sz w:val="14"/>
        </w:rPr>
        <w:t xml:space="preserve">  Financial Tracking  </w:t>
      </w:r>
    </w:p>
    <w:p>
      <w:pPr>
        <w:spacing w:after="40"/>
      </w:pPr>
      <w:r>
        <w:rPr>
          <w:rFonts w:ascii="Inter" w:hAnsi="Inter"/>
          <w:b/>
          <w:color w:val="171717"/>
          <w:sz w:val="21"/>
        </w:rPr>
        <w:t>Sr. Analyst (PMO)  |  Buzzworks Business Services (Deployed at Capgemini)</w:t>
      </w:r>
    </w:p>
    <w:p>
      <w:pPr>
        <w:spacing w:after="60" w:before="0"/>
      </w:pPr>
      <w:r>
        <w:rPr>
          <w:rFonts w:ascii="Inter" w:hAnsi="Inter"/>
          <w:color w:val="5A5A5A"/>
          <w:sz w:val="17"/>
        </w:rPr>
        <w:t>Feb 2022 – Jul 2022 · Pune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Managed staffing, vendor management, and onboarding frameworks, reducing time-to-hire by 20%.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Handled data tracking, invoicing, and compliance monitoring for operational and financial benchmarks.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Integrated AI tools for predictive forecasting of timelines and readiness.</w:t>
      </w:r>
    </w:p>
    <w:p>
      <w:pPr>
        <w:spacing w:after="120"/>
      </w:pPr>
      <w:r>
        <w:rPr>
          <w:rFonts w:ascii="Inter" w:hAnsi="Inter"/>
          <w:color w:val="84847E"/>
          <w:sz w:val="14"/>
        </w:rPr>
        <w:t xml:space="preserve">  Staffing  </w:t>
      </w:r>
      <w:r>
        <w:rPr>
          <w:rFonts w:ascii="Inter" w:hAnsi="Inter"/>
          <w:color w:val="84847E"/>
          <w:sz w:val="14"/>
        </w:rPr>
        <w:t xml:space="preserve">  Vendor Mgmt  </w:t>
      </w:r>
      <w:r>
        <w:rPr>
          <w:rFonts w:ascii="Inter" w:hAnsi="Inter"/>
          <w:color w:val="84847E"/>
          <w:sz w:val="14"/>
        </w:rPr>
        <w:t xml:space="preserve">  Forecasting  </w:t>
      </w:r>
    </w:p>
    <w:p>
      <w:pPr>
        <w:spacing w:after="40"/>
      </w:pPr>
      <w:r>
        <w:rPr>
          <w:rFonts w:ascii="Inter" w:hAnsi="Inter"/>
          <w:b/>
          <w:color w:val="171717"/>
          <w:sz w:val="21"/>
        </w:rPr>
        <w:t>Customer Service Manager (CSM)  |  Capgemini Technology Services India Ltd.</w:t>
      </w:r>
    </w:p>
    <w:p>
      <w:pPr>
        <w:spacing w:after="60" w:before="0"/>
      </w:pPr>
      <w:r>
        <w:rPr>
          <w:rFonts w:ascii="Inter" w:hAnsi="Inter"/>
          <w:color w:val="5A5A5A"/>
          <w:sz w:val="17"/>
        </w:rPr>
        <w:t>Mar 2024 – Present · Pune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Oversee end-to-end project ownership, stakeholder alignment, and successful business-objective delivery.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People management, team coordination, stakeholder engagement aligned to organizational strategies.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Cross-functional collaboration across Capgemini and client organizations.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Leverage E-Monitoring, SMART, GTD, Agile methodologies to track progress, identify risks, implement proactive solutions.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Conflict resolution for project-related disputes; Excel data visualization for leadership decision-making.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Structured budgeting, invoicing, forecasting ensuring financial accuracy.</w:t>
      </w:r>
    </w:p>
    <w:p>
      <w:pPr>
        <w:spacing w:after="120"/>
      </w:pPr>
      <w:r>
        <w:rPr>
          <w:rFonts w:ascii="Inter" w:hAnsi="Inter"/>
          <w:color w:val="84847E"/>
          <w:sz w:val="14"/>
        </w:rPr>
        <w:t xml:space="preserve">  CSM  </w:t>
      </w:r>
      <w:r>
        <w:rPr>
          <w:rFonts w:ascii="Inter" w:hAnsi="Inter"/>
          <w:color w:val="84847E"/>
          <w:sz w:val="14"/>
        </w:rPr>
        <w:t xml:space="preserve">  People Mgmt  </w:t>
      </w:r>
      <w:r>
        <w:rPr>
          <w:rFonts w:ascii="Inter" w:hAnsi="Inter"/>
          <w:color w:val="84847E"/>
          <w:sz w:val="14"/>
        </w:rPr>
        <w:t xml:space="preserve">  Stakeholder  </w:t>
      </w:r>
      <w:r>
        <w:rPr>
          <w:rFonts w:ascii="Inter" w:hAnsi="Inter"/>
          <w:color w:val="84847E"/>
          <w:sz w:val="14"/>
        </w:rPr>
        <w:t xml:space="preserve">  E-Monitoring  </w:t>
      </w:r>
      <w:r>
        <w:rPr>
          <w:rFonts w:ascii="Inter" w:hAnsi="Inter"/>
          <w:color w:val="84847E"/>
          <w:sz w:val="14"/>
        </w:rPr>
        <w:t xml:space="preserve">  Agile  </w:t>
      </w:r>
      <w:r>
        <w:rPr>
          <w:rFonts w:ascii="Inter" w:hAnsi="Inter"/>
          <w:color w:val="84847E"/>
          <w:sz w:val="14"/>
        </w:rPr>
        <w:t xml:space="preserve">  Financial  </w:t>
      </w:r>
    </w:p>
    <w:p>
      <w:pPr>
        <w:pStyle w:val="Heading1"/>
        <w:spacing w:after="40" w:before="120"/>
        <w:jc w:val="left"/>
        <w:pBdr>
          <w:bottom w:val="single" w:sz="12" w:color="171717"/>
        </w:pBdr>
      </w:pPr>
      <w:r>
        <w:rPr>
          <w:rFonts w:ascii="Cormorant Garamond" w:hAnsi="Cormorant Garamond"/>
          <w:b w:val="0"/>
          <w:color w:val="171717"/>
          <w:sz w:val="28"/>
        </w:rPr>
        <w:t>Education &amp; Certifications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Master's in Personnel Management — Pune University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Bachelor's in Science (Physics) — Pune University</w:t>
      </w:r>
    </w:p>
    <w:p>
      <w:pPr>
        <w:pStyle w:val="ListBullet"/>
        <w:spacing w:after="40" w:line="276" w:lineRule="auto"/>
        <w:ind w:left="288"/>
      </w:pPr>
      <w:r>
        <w:rPr>
          <w:rFonts w:ascii="Inter" w:hAnsi="Inter"/>
          <w:color w:val="333333"/>
          <w:sz w:val="19"/>
        </w:rPr>
        <w:t>Certified Scrum Master (Scrum Alliance)  •  AI for Project Management (recent upskilling)</w:t>
      </w:r>
    </w:p>
    <w:p>
      <w:pPr>
        <w:pStyle w:val="Heading1"/>
        <w:spacing w:after="40" w:before="120"/>
        <w:jc w:val="left"/>
        <w:pBdr>
          <w:bottom w:val="single" w:sz="12" w:color="171717"/>
        </w:pBdr>
      </w:pPr>
      <w:r>
        <w:rPr>
          <w:rFonts w:ascii="Cormorant Garamond" w:hAnsi="Cormorant Garamond"/>
          <w:b w:val="0"/>
          <w:color w:val="171717"/>
          <w:sz w:val="28"/>
        </w:rPr>
        <w:t>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4946"/>
            <w:shd w:fill="F7F7F0"/>
          </w:tcPr>
          <w:p>
            <w:pPr>
              <w:spacing w:after="20"/>
            </w:pPr>
            <w:r>
              <w:rPr>
                <w:rFonts w:ascii="Inter" w:hAnsi="Inter"/>
                <w:b/>
                <w:color w:val="171717"/>
                <w:sz w:val="18"/>
              </w:rPr>
              <w:t>Email</w:t>
            </w:r>
          </w:p>
        </w:tc>
        <w:tc>
          <w:tcPr>
            <w:tcW w:type="dxa" w:w="4946"/>
            <w:shd w:fill="F7F7F0"/>
          </w:tcPr>
          <w:p>
            <w:pPr>
              <w:spacing w:after="20"/>
            </w:pPr>
            <w:r>
              <w:rPr>
                <w:rFonts w:ascii="Inter" w:hAnsi="Inter"/>
                <w:color w:val="171717"/>
                <w:sz w:val="18"/>
              </w:rPr>
              <w:t>bkachare@gmail.com</w:t>
            </w:r>
          </w:p>
        </w:tc>
      </w:tr>
      <w:tr>
        <w:tc>
          <w:tcPr>
            <w:tcW w:type="dxa" w:w="4946"/>
            <w:shd w:fill="F7F7F0"/>
          </w:tcPr>
          <w:p>
            <w:pPr>
              <w:spacing w:after="20"/>
            </w:pPr>
            <w:r>
              <w:rPr>
                <w:rFonts w:ascii="Inter" w:hAnsi="Inter"/>
                <w:b/>
                <w:color w:val="171717"/>
                <w:sz w:val="18"/>
              </w:rPr>
              <w:t>Phone</w:t>
            </w:r>
          </w:p>
        </w:tc>
        <w:tc>
          <w:tcPr>
            <w:tcW w:type="dxa" w:w="4946"/>
            <w:shd w:fill="F7F7F0"/>
          </w:tcPr>
          <w:p>
            <w:pPr>
              <w:spacing w:after="20"/>
            </w:pPr>
            <w:r>
              <w:rPr>
                <w:rFonts w:ascii="Inter" w:hAnsi="Inter"/>
                <w:color w:val="171717"/>
                <w:sz w:val="18"/>
              </w:rPr>
              <w:t>+91 98508 99140</w:t>
            </w:r>
          </w:p>
        </w:tc>
      </w:tr>
      <w:tr>
        <w:tc>
          <w:tcPr>
            <w:tcW w:type="dxa" w:w="4946"/>
            <w:shd w:fill="F7F7F0"/>
          </w:tcPr>
          <w:p>
            <w:pPr>
              <w:spacing w:after="20"/>
            </w:pPr>
            <w:r>
              <w:rPr>
                <w:rFonts w:ascii="Inter" w:hAnsi="Inter"/>
                <w:b/>
                <w:color w:val="171717"/>
                <w:sz w:val="18"/>
              </w:rPr>
              <w:t>LinkedIn</w:t>
            </w:r>
          </w:p>
        </w:tc>
        <w:tc>
          <w:tcPr>
            <w:tcW w:type="dxa" w:w="4946"/>
            <w:shd w:fill="F7F7F0"/>
          </w:tcPr>
          <w:p>
            <w:pPr>
              <w:spacing w:after="20"/>
            </w:pPr>
            <w:r>
              <w:rPr>
                <w:rFonts w:ascii="Inter" w:hAnsi="Inter"/>
                <w:color w:val="171717"/>
                <w:sz w:val="18"/>
              </w:rPr>
              <w:t>linkedin.com/in/bhagyashri-kachare-joshi-ab091831</w:t>
            </w:r>
          </w:p>
        </w:tc>
      </w:tr>
      <w:tr>
        <w:tc>
          <w:tcPr>
            <w:tcW w:type="dxa" w:w="4946"/>
            <w:shd w:fill="F7F7F0"/>
          </w:tcPr>
          <w:p>
            <w:pPr>
              <w:spacing w:after="20"/>
            </w:pPr>
            <w:r>
              <w:rPr>
                <w:rFonts w:ascii="Inter" w:hAnsi="Inter"/>
                <w:b/>
                <w:color w:val="171717"/>
                <w:sz w:val="18"/>
              </w:rPr>
              <w:t>Portfolio / Repo</w:t>
            </w:r>
          </w:p>
        </w:tc>
        <w:tc>
          <w:tcPr>
            <w:tcW w:type="dxa" w:w="4946"/>
            <w:shd w:fill="F7F7F0"/>
          </w:tcPr>
          <w:p>
            <w:pPr>
              <w:spacing w:after="20"/>
            </w:pPr>
            <w:r>
              <w:rPr>
                <w:rFonts w:ascii="Inter" w:hAnsi="Inter"/>
                <w:color w:val="171717"/>
                <w:sz w:val="18"/>
              </w:rPr>
              <w:t>github.com/Bhagyashri-Kachare/Bhagyashri-Kachare-Joshi</w:t>
            </w:r>
          </w:p>
        </w:tc>
      </w:tr>
    </w:tbl>
    <w:sectPr w:rsidR="00FC693F" w:rsidRPr="0006063C" w:rsidSect="00034616">
      <w:pgSz w:w="11909" w:h="16834"/>
      <w:pgMar w:top="100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