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1F2A44"/>
          <w:sz w:val="60"/>
        </w:rPr>
        <w:t>MAGE</w:t>
      </w:r>
    </w:p>
    <w:p>
      <w:pPr>
        <w:spacing w:after="200"/>
      </w:pPr>
      <w:r>
        <w:rPr>
          <w:b w:val="0"/>
          <w:i/>
          <w:color w:val="555B66"/>
          <w:sz w:val="26"/>
        </w:rPr>
        <w:t>Multi-Agent Goal-conditioned Exploratory Data Analysis</w:t>
      </w:r>
    </w:p>
    <w:p>
      <w:pPr>
        <w:spacing w:after="240"/>
      </w:pPr>
      <w:r>
        <w:rPr>
          <w:b/>
          <w:i w:val="0"/>
          <w:color w:val="9C5B5B"/>
          <w:sz w:val="24"/>
        </w:rPr>
        <w:t>Presentation &amp; Live Demo Guide</w:t>
      </w:r>
    </w:p>
    <w:tbl>
      <w:tblPr>
        <w:tblStyle w:val="TableGrid"/>
        <w:tblW w:type="auto" w:w="0"/>
        <w:jc w:val="center"/>
        <w:tblLook w:firstColumn="1" w:firstRow="1" w:lastColumn="0" w:lastRow="0" w:noHBand="0" w:noVBand="1" w:val="04A0"/>
      </w:tblPr>
      <w:tblGrid>
        <w:gridCol w:w="5040"/>
        <w:gridCol w:w="5040"/>
      </w:tblGrid>
      <w:tr>
        <w:tc>
          <w:tcPr>
            <w:tcW w:type="dxa" w:w="2160"/>
            <w:shd w:fill="1F2A44"/>
          </w:tcPr>
          <w:p>
            <w:pPr>
              <w:spacing w:after="20"/>
            </w:pPr>
            <w:r/>
            <w:r>
              <w:rPr>
                <w:b/>
                <w:color w:val="FFFFFF"/>
                <w:sz w:val="17"/>
              </w:rPr>
              <w:t>Field</w:t>
            </w:r>
          </w:p>
        </w:tc>
        <w:tc>
          <w:tcPr>
            <w:tcW w:type="dxa" w:w="7920"/>
            <w:shd w:fill="1F2A44"/>
          </w:tcPr>
          <w:p>
            <w:pPr>
              <w:spacing w:after="20"/>
            </w:pPr>
            <w:r/>
            <w:r>
              <w:rPr>
                <w:b/>
                <w:color w:val="FFFFFF"/>
                <w:sz w:val="17"/>
              </w:rPr>
              <w:t>Detail</w:t>
            </w:r>
          </w:p>
        </w:tc>
      </w:tr>
      <w:tr>
        <w:tc>
          <w:tcPr>
            <w:tcW w:type="dxa" w:w="2160"/>
          </w:tcPr>
          <w:p>
            <w:pPr>
              <w:spacing w:after="20"/>
            </w:pPr>
            <w:r/>
            <w:r>
              <w:rPr>
                <w:sz w:val="17"/>
              </w:rPr>
              <w:t>Presenter</w:t>
            </w:r>
          </w:p>
        </w:tc>
        <w:tc>
          <w:tcPr>
            <w:tcW w:type="dxa" w:w="7920"/>
          </w:tcPr>
          <w:p>
            <w:pPr>
              <w:spacing w:after="20"/>
            </w:pPr>
            <w:r/>
            <w:r>
              <w:rPr>
                <w:sz w:val="17"/>
              </w:rPr>
              <w:t>Sarthak  (git: Nandinisingh28)</w:t>
            </w:r>
          </w:p>
        </w:tc>
      </w:tr>
      <w:tr>
        <w:tc>
          <w:tcPr>
            <w:tcW w:type="dxa" w:w="2160"/>
          </w:tcPr>
          <w:p>
            <w:pPr>
              <w:spacing w:after="20"/>
            </w:pPr>
            <w:r/>
            <w:r>
              <w:rPr>
                <w:sz w:val="17"/>
              </w:rPr>
              <w:t>Audience</w:t>
            </w:r>
          </w:p>
        </w:tc>
        <w:tc>
          <w:tcPr>
            <w:tcW w:type="dxa" w:w="7920"/>
          </w:tcPr>
          <w:p>
            <w:pPr>
              <w:spacing w:after="20"/>
            </w:pPr>
            <w:r/>
            <w:r>
              <w:rPr>
                <w:sz w:val="17"/>
              </w:rPr>
              <w:t>University examiners — technical panel</w:t>
            </w:r>
          </w:p>
        </w:tc>
      </w:tr>
      <w:tr>
        <w:tc>
          <w:tcPr>
            <w:tcW w:type="dxa" w:w="2160"/>
          </w:tcPr>
          <w:p>
            <w:pPr>
              <w:spacing w:after="20"/>
            </w:pPr>
            <w:r/>
            <w:r>
              <w:rPr>
                <w:sz w:val="17"/>
              </w:rPr>
              <w:t>Slot</w:t>
            </w:r>
          </w:p>
        </w:tc>
        <w:tc>
          <w:tcPr>
            <w:tcW w:type="dxa" w:w="7920"/>
          </w:tcPr>
          <w:p>
            <w:pPr>
              <w:spacing w:after="20"/>
            </w:pPr>
            <w:r/>
            <w:r>
              <w:rPr>
                <w:sz w:val="17"/>
              </w:rPr>
              <w:t>10–15 minutes, followed by questions</w:t>
            </w:r>
          </w:p>
        </w:tc>
      </w:tr>
      <w:tr>
        <w:tc>
          <w:tcPr>
            <w:tcW w:type="dxa" w:w="2160"/>
          </w:tcPr>
          <w:p>
            <w:pPr>
              <w:spacing w:after="20"/>
            </w:pPr>
            <w:r/>
            <w:r>
              <w:rPr>
                <w:sz w:val="17"/>
              </w:rPr>
              <w:t>Format</w:t>
            </w:r>
          </w:p>
        </w:tc>
        <w:tc>
          <w:tcPr>
            <w:tcW w:type="dxa" w:w="7920"/>
          </w:tcPr>
          <w:p>
            <w:pPr>
              <w:spacing w:after="20"/>
            </w:pPr>
            <w:r/>
            <w:r>
              <w:rPr>
                <w:sz w:val="17"/>
              </w:rPr>
              <w:t>Live demo of the running stack + narration</w:t>
            </w:r>
          </w:p>
        </w:tc>
      </w:tr>
      <w:tr>
        <w:tc>
          <w:tcPr>
            <w:tcW w:type="dxa" w:w="2160"/>
          </w:tcPr>
          <w:p>
            <w:pPr>
              <w:spacing w:after="20"/>
            </w:pPr>
            <w:r/>
            <w:r>
              <w:rPr>
                <w:sz w:val="17"/>
              </w:rPr>
              <w:t>Code state described</w:t>
            </w:r>
          </w:p>
        </w:tc>
        <w:tc>
          <w:tcPr>
            <w:tcW w:type="dxa" w:w="7920"/>
          </w:tcPr>
          <w:p>
            <w:pPr>
              <w:spacing w:after="20"/>
            </w:pPr>
            <w:r/>
            <w:r>
              <w:rPr>
                <w:rFonts w:ascii="Consolas" w:hAnsi="Consolas"/>
                <w:color w:val="9C5B5B"/>
                <w:sz w:val="15"/>
              </w:rPr>
              <w:t>integrate/main-into-m2</w:t>
            </w:r>
            <w:r>
              <w:rPr>
                <w:sz w:val="17"/>
              </w:rPr>
              <w:t xml:space="preserve"> — the integrated branch (all three contributors)</w:t>
            </w:r>
          </w:p>
        </w:tc>
      </w:tr>
      <w:tr>
        <w:tc>
          <w:tcPr>
            <w:tcW w:type="dxa" w:w="2160"/>
          </w:tcPr>
          <w:p>
            <w:pPr>
              <w:spacing w:after="20"/>
            </w:pPr>
            <w:r/>
            <w:r>
              <w:rPr>
                <w:sz w:val="17"/>
              </w:rPr>
              <w:t>Verified test status</w:t>
            </w:r>
          </w:p>
        </w:tc>
        <w:tc>
          <w:tcPr>
            <w:tcW w:type="dxa" w:w="7920"/>
          </w:tcPr>
          <w:p>
            <w:pPr>
              <w:spacing w:after="20"/>
            </w:pPr>
            <w:r/>
            <w:r>
              <w:rPr>
                <w:sz w:val="17"/>
              </w:rPr>
              <w:t>1008 passed, 1 skipped, 0 failures</w:t>
            </w:r>
          </w:p>
        </w:tc>
      </w:tr>
      <w:tr>
        <w:tc>
          <w:tcPr>
            <w:tcW w:type="dxa" w:w="2160"/>
          </w:tcPr>
          <w:p>
            <w:pPr>
              <w:spacing w:after="20"/>
            </w:pPr>
            <w:r/>
            <w:r>
              <w:rPr>
                <w:sz w:val="17"/>
              </w:rPr>
              <w:t>Evaluation status</w:t>
            </w:r>
          </w:p>
        </w:tc>
        <w:tc>
          <w:tcPr>
            <w:tcW w:type="dxa" w:w="7920"/>
          </w:tcPr>
          <w:p>
            <w:pPr>
              <w:spacing w:after="20"/>
            </w:pPr>
            <w:r/>
            <w:r>
              <w:rPr>
                <w:sz w:val="17"/>
              </w:rPr>
              <w:t>Computation divergence 0.836 · F1 0.732 · citation coverage 1.000</w:t>
            </w:r>
          </w:p>
        </w:tc>
      </w:tr>
    </w:tbl>
    <w:p>
      <w:pPr>
        <w:spacing w:after="80"/>
      </w:pPr>
    </w:p>
    <w:p>
      <w:pPr>
        <w:spacing w:after="60"/>
      </w:pPr>
      <w:r>
        <w:rPr>
          <w:b/>
          <w:i w:val="0"/>
          <w:color w:val="1F2A44"/>
          <w:sz w:val="23"/>
        </w:rPr>
        <w:t>How to use this guide</w:t>
      </w:r>
    </w:p>
    <w:p>
      <w:pPr>
        <w:spacing w:after="80"/>
      </w:pPr>
      <w:r>
        <w:rPr>
          <w:rFonts w:ascii="Calibri" w:hAnsi="Calibri"/>
          <w:b w:val="0"/>
          <w:i w:val="0"/>
          <w:sz w:val="19"/>
        </w:rPr>
        <w:t xml:space="preserve">This is a preparation and reference document, not a script to read cover-to-cover. In a 10–15 minute slot you will speak to roughly </w:t>
      </w:r>
      <w:r>
        <w:rPr>
          <w:rFonts w:ascii="Calibri" w:hAnsi="Calibri"/>
          <w:b/>
          <w:i w:val="0"/>
          <w:sz w:val="19"/>
        </w:rPr>
        <w:t>Sections 2, 3 and 5</w:t>
      </w:r>
      <w:r>
        <w:rPr>
          <w:rFonts w:ascii="Calibri" w:hAnsi="Calibri"/>
          <w:b w:val="0"/>
          <w:i w:val="0"/>
          <w:sz w:val="19"/>
        </w:rPr>
        <w:t xml:space="preserve"> only. Everything else exists so that a question cannot catch you out.</w:t>
      </w:r>
    </w:p>
    <w:p>
      <w:pPr>
        <w:pStyle w:val="ListBullet"/>
        <w:spacing w:after="40"/>
        <w:ind w:left="317"/>
      </w:pPr>
      <w:r>
        <w:rPr>
          <w:rFonts w:ascii="Calibri" w:hAnsi="Calibri"/>
          <w:b/>
          <w:i w:val="0"/>
          <w:sz w:val="19"/>
        </w:rPr>
        <w:t>SAY</w:t>
      </w:r>
      <w:r>
        <w:rPr>
          <w:rFonts w:ascii="Calibri" w:hAnsi="Calibri"/>
          <w:b w:val="0"/>
          <w:i w:val="0"/>
          <w:sz w:val="19"/>
        </w:rPr>
        <w:t xml:space="preserve"> — wording you can use verbatim. Written for the ear: short sentences, no nested clauses.</w:t>
      </w:r>
    </w:p>
    <w:p>
      <w:pPr>
        <w:pStyle w:val="ListBullet"/>
        <w:spacing w:after="40"/>
        <w:ind w:left="317"/>
      </w:pPr>
      <w:r>
        <w:rPr>
          <w:rFonts w:ascii="Calibri" w:hAnsi="Calibri"/>
          <w:b/>
          <w:i w:val="0"/>
          <w:sz w:val="19"/>
        </w:rPr>
        <w:t>SHOW</w:t>
      </w:r>
      <w:r>
        <w:rPr>
          <w:rFonts w:ascii="Calibri" w:hAnsi="Calibri"/>
          <w:b w:val="0"/>
          <w:i w:val="0"/>
          <w:sz w:val="19"/>
        </w:rPr>
        <w:t xml:space="preserve"> — exactly what to have on screen at that moment.</w:t>
      </w:r>
    </w:p>
    <w:p>
      <w:pPr>
        <w:pStyle w:val="ListBullet"/>
        <w:spacing w:after="40"/>
        <w:ind w:left="317"/>
      </w:pPr>
      <w:r>
        <w:rPr>
          <w:rFonts w:ascii="Calibri" w:hAnsi="Calibri"/>
          <w:b/>
          <w:i w:val="0"/>
          <w:sz w:val="19"/>
        </w:rPr>
        <w:t>IF ASKED</w:t>
      </w:r>
      <w:r>
        <w:rPr>
          <w:rFonts w:ascii="Calibri" w:hAnsi="Calibri"/>
          <w:b w:val="0"/>
          <w:i w:val="0"/>
          <w:sz w:val="19"/>
        </w:rPr>
        <w:t xml:space="preserve"> — a prepared deeper answer. Do not volunteer these; they cost time you do not have.</w:t>
      </w:r>
    </w:p>
    <w:p>
      <w:pPr>
        <w:pStyle w:val="ListBullet"/>
        <w:spacing w:after="40"/>
        <w:ind w:left="317"/>
      </w:pPr>
      <w:r>
        <w:rPr>
          <w:rFonts w:ascii="Calibri" w:hAnsi="Calibri"/>
          <w:b w:val="0"/>
          <w:i w:val="0"/>
          <w:sz w:val="19"/>
        </w:rPr>
        <w:t>Monospaced red text</w:t>
      </w:r>
      <w:r>
        <w:rPr>
          <w:rFonts w:ascii="Calibri" w:hAnsi="Calibri"/>
          <w:b w:val="0"/>
          <w:i w:val="0"/>
          <w:sz w:val="19"/>
        </w:rPr>
        <w:t xml:space="preserve"> is a real path, identifier, or number you can point at in the code.</w:t>
      </w:r>
    </w:p>
    <w:p>
      <w:pPr>
        <w:spacing w:after="80"/>
      </w:pPr>
    </w:p>
    <w:tbl>
      <w:tblPr>
        <w:tblStyle w:val="TableGrid"/>
        <w:tblW w:type="auto" w:w="0"/>
        <w:tblLook w:firstColumn="1" w:firstRow="1" w:lastColumn="0" w:lastRow="0" w:noHBand="0" w:noVBand="1" w:val="04A0"/>
      </w:tblPr>
      <w:tblGrid>
        <w:gridCol w:w="10080"/>
      </w:tblGrid>
      <w:tr>
        <w:tc>
          <w:tcPr>
            <w:tcW w:type="dxa" w:w="10080"/>
            <w:shd w:fill="F2EEE9"/>
          </w:tcPr>
          <w:p>
            <w:pPr>
              <w:spacing w:after="40"/>
            </w:pPr>
            <w:r/>
            <w:r>
              <w:rPr>
                <w:b/>
                <w:color w:val="9C5B5B"/>
                <w:sz w:val="17"/>
              </w:rPr>
              <w:t xml:space="preserve">EVIDENCE STANDARD  </w:t>
            </w:r>
            <w:r>
              <w:rPr>
                <w:sz w:val="18"/>
              </w:rPr>
              <w:t>Every technical claim in this document was verified against the code on the integrated branch. Where something could not be established from the repository it is marked "Not found in repository" rather than inferred. The test and evaluation figures above were produced by running the suites, not copied from documentation.</w:t>
            </w:r>
          </w:p>
        </w:tc>
      </w:tr>
    </w:tbl>
    <w:p>
      <w:pPr>
        <w:spacing w:after="40"/>
      </w:pPr>
    </w:p>
    <w:p>
      <w:r>
        <w:br w:type="page"/>
      </w:r>
    </w:p>
    <w:p>
      <w:pPr>
        <w:pStyle w:val="Heading1"/>
      </w:pPr>
      <w:r>
        <w:t>1.  Problem, and what MAGE does about it</w:t>
      </w:r>
    </w:p>
    <w:p>
      <w:pPr>
        <w:pStyle w:val="Heading2"/>
      </w:pPr>
      <w:r>
        <w:t>The problem</w:t>
      </w:r>
    </w:p>
    <w:p>
      <w:pPr>
        <w:spacing w:after="80"/>
      </w:pPr>
      <w:r>
        <w:rPr>
          <w:rFonts w:ascii="Calibri" w:hAnsi="Calibri"/>
          <w:b w:val="0"/>
          <w:i w:val="0"/>
          <w:sz w:val="19"/>
        </w:rPr>
        <w:t xml:space="preserve">Automated EDA tools produce the same report regardless of why you opened the dataset. Run </w:t>
      </w:r>
      <w:r>
        <w:rPr>
          <w:rFonts w:ascii="Consolas" w:hAnsi="Consolas"/>
          <w:b w:val="0"/>
          <w:i w:val="0"/>
          <w:color w:val="9C5B5B"/>
          <w:sz w:val="17"/>
        </w:rPr>
        <w:t>ydata-profiling</w:t>
      </w:r>
      <w:r>
        <w:rPr>
          <w:rFonts w:ascii="Calibri" w:hAnsi="Calibri"/>
          <w:b w:val="0"/>
          <w:i w:val="0"/>
          <w:sz w:val="19"/>
        </w:rPr>
        <w:t xml:space="preserve"> on a dataset ten times with ten different questions in mind and you get ten identical documents. The analyst does the goal-conditioning in their head, manually, every time.</w:t>
      </w:r>
    </w:p>
    <w:p>
      <w:pPr>
        <w:pStyle w:val="Heading2"/>
      </w:pPr>
      <w:r>
        <w:t>The claim MAGE makes</w:t>
      </w:r>
    </w:p>
    <w:p>
      <w:pPr>
        <w:spacing w:after="80"/>
      </w:pPr>
      <w:r>
        <w:rPr>
          <w:rFonts w:ascii="Calibri" w:hAnsi="Calibri"/>
          <w:b w:val="0"/>
          <w:i w:val="0"/>
          <w:sz w:val="19"/>
        </w:rPr>
        <w:t xml:space="preserve">The analytical goal, written in plain English, should decide </w:t>
      </w:r>
      <w:r>
        <w:rPr>
          <w:rFonts w:ascii="Calibri" w:hAnsi="Calibri"/>
          <w:b/>
          <w:i w:val="0"/>
          <w:sz w:val="19"/>
        </w:rPr>
        <w:t>which computations actually run</w:t>
      </w:r>
      <w:r>
        <w:rPr>
          <w:rFonts w:ascii="Calibri" w:hAnsi="Calibri"/>
          <w:b w:val="0"/>
          <w:i w:val="0"/>
          <w:sz w:val="19"/>
        </w:rPr>
        <w:t xml:space="preserve"> — not merely which results get displayed. And every recommendation the system makes should cite the methodology document it came from, so it can be checked.</w:t>
      </w:r>
    </w:p>
    <w:p>
      <w:pPr>
        <w:pStyle w:val="Heading2"/>
      </w:pPr>
      <w:r>
        <w:t>Implemented capabilities</w:t>
      </w:r>
    </w:p>
    <w:tbl>
      <w:tblPr>
        <w:tblStyle w:val="TableGrid"/>
        <w:tblW w:type="auto" w:w="0"/>
        <w:jc w:val="center"/>
        <w:tblLook w:firstColumn="1" w:firstRow="1" w:lastColumn="0" w:lastRow="0" w:noHBand="0" w:noVBand="1" w:val="04A0"/>
      </w:tblPr>
      <w:tblGrid>
        <w:gridCol w:w="3360"/>
        <w:gridCol w:w="3360"/>
        <w:gridCol w:w="3360"/>
      </w:tblGrid>
      <w:tr>
        <w:tc>
          <w:tcPr>
            <w:tcW w:type="dxa" w:w="4176"/>
            <w:shd w:fill="1F2A44"/>
          </w:tcPr>
          <w:p>
            <w:pPr>
              <w:spacing w:after="20"/>
            </w:pPr>
            <w:r/>
            <w:r>
              <w:rPr>
                <w:b/>
                <w:color w:val="FFFFFF"/>
                <w:sz w:val="17"/>
              </w:rPr>
              <w:t>Capability</w:t>
            </w:r>
          </w:p>
        </w:tc>
        <w:tc>
          <w:tcPr>
            <w:tcW w:type="dxa" w:w="4320"/>
            <w:shd w:fill="1F2A44"/>
          </w:tcPr>
          <w:p>
            <w:pPr>
              <w:spacing w:after="20"/>
            </w:pPr>
            <w:r/>
            <w:r>
              <w:rPr>
                <w:b/>
                <w:color w:val="FFFFFF"/>
                <w:sz w:val="17"/>
              </w:rPr>
              <w:t>Where it lives</w:t>
            </w:r>
          </w:p>
        </w:tc>
        <w:tc>
          <w:tcPr>
            <w:tcW w:type="dxa" w:w="1584"/>
            <w:shd w:fill="1F2A44"/>
          </w:tcPr>
          <w:p>
            <w:pPr>
              <w:spacing w:after="20"/>
            </w:pPr>
            <w:r/>
            <w:r>
              <w:rPr>
                <w:b/>
                <w:color w:val="FFFFFF"/>
                <w:sz w:val="17"/>
              </w:rPr>
              <w:t>Status</w:t>
            </w:r>
          </w:p>
        </w:tc>
      </w:tr>
      <w:tr>
        <w:tc>
          <w:tcPr>
            <w:tcW w:type="dxa" w:w="4176"/>
          </w:tcPr>
          <w:p>
            <w:pPr>
              <w:spacing w:after="20"/>
            </w:pPr>
            <w:r/>
            <w:r>
              <w:rPr>
                <w:sz w:val="17"/>
              </w:rPr>
              <w:t>Goal → task-type classification (5 types)</w:t>
            </w:r>
          </w:p>
        </w:tc>
        <w:tc>
          <w:tcPr>
            <w:tcW w:type="dxa" w:w="4320"/>
          </w:tcPr>
          <w:p>
            <w:pPr>
              <w:spacing w:after="20"/>
            </w:pPr>
            <w:r/>
            <w:r>
              <w:rPr>
                <w:rFonts w:ascii="Consolas" w:hAnsi="Consolas"/>
                <w:color w:val="9C5B5B"/>
                <w:sz w:val="15"/>
              </w:rPr>
              <w:t>agents/goal_classifier.py</w:t>
            </w:r>
          </w:p>
        </w:tc>
        <w:tc>
          <w:tcPr>
            <w:tcW w:type="dxa" w:w="1584"/>
          </w:tcPr>
          <w:p>
            <w:pPr>
              <w:spacing w:after="20"/>
            </w:pPr>
            <w:r/>
            <w:r>
              <w:rPr>
                <w:sz w:val="17"/>
              </w:rPr>
              <w:t>Implemented</w:t>
            </w:r>
          </w:p>
        </w:tc>
      </w:tr>
      <w:tr>
        <w:tc>
          <w:tcPr>
            <w:tcW w:type="dxa" w:w="4176"/>
          </w:tcPr>
          <w:p>
            <w:pPr>
              <w:spacing w:after="20"/>
            </w:pPr>
            <w:r/>
            <w:r>
              <w:rPr>
                <w:sz w:val="17"/>
              </w:rPr>
              <w:t>Conditional pipeline construction</w:t>
            </w:r>
          </w:p>
        </w:tc>
        <w:tc>
          <w:tcPr>
            <w:tcW w:type="dxa" w:w="4320"/>
          </w:tcPr>
          <w:p>
            <w:pPr>
              <w:spacing w:after="20"/>
            </w:pPr>
            <w:r/>
            <w:r>
              <w:rPr>
                <w:rFonts w:ascii="Consolas" w:hAnsi="Consolas"/>
                <w:color w:val="9C5B5B"/>
                <w:sz w:val="15"/>
              </w:rPr>
              <w:t>agents/planner.py</w:t>
            </w:r>
          </w:p>
        </w:tc>
        <w:tc>
          <w:tcPr>
            <w:tcW w:type="dxa" w:w="1584"/>
          </w:tcPr>
          <w:p>
            <w:pPr>
              <w:spacing w:after="20"/>
            </w:pPr>
            <w:r/>
            <w:r>
              <w:rPr>
                <w:sz w:val="17"/>
              </w:rPr>
              <w:t>Implemented</w:t>
            </w:r>
          </w:p>
        </w:tc>
      </w:tr>
      <w:tr>
        <w:tc>
          <w:tcPr>
            <w:tcW w:type="dxa" w:w="4176"/>
          </w:tcPr>
          <w:p>
            <w:pPr>
              <w:spacing w:after="20"/>
            </w:pPr>
            <w:r/>
            <w:r>
              <w:rPr>
                <w:sz w:val="17"/>
              </w:rPr>
              <w:t>ReAct loop with mid-run reflection</w:t>
            </w:r>
          </w:p>
        </w:tc>
        <w:tc>
          <w:tcPr>
            <w:tcW w:type="dxa" w:w="4320"/>
          </w:tcPr>
          <w:p>
            <w:pPr>
              <w:spacing w:after="20"/>
            </w:pPr>
            <w:r/>
            <w:r>
              <w:rPr>
                <w:rFonts w:ascii="Consolas" w:hAnsi="Consolas"/>
                <w:color w:val="9C5B5B"/>
                <w:sz w:val="15"/>
              </w:rPr>
              <w:t>agents/orchestrator.py</w:t>
            </w:r>
          </w:p>
        </w:tc>
        <w:tc>
          <w:tcPr>
            <w:tcW w:type="dxa" w:w="1584"/>
          </w:tcPr>
          <w:p>
            <w:pPr>
              <w:spacing w:after="20"/>
            </w:pPr>
            <w:r/>
            <w:r>
              <w:rPr>
                <w:sz w:val="17"/>
              </w:rPr>
              <w:t>Implemented</w:t>
            </w:r>
          </w:p>
        </w:tc>
      </w:tr>
      <w:tr>
        <w:tc>
          <w:tcPr>
            <w:tcW w:type="dxa" w:w="4176"/>
          </w:tcPr>
          <w:p>
            <w:pPr>
              <w:spacing w:after="20"/>
            </w:pPr>
            <w:r/>
            <w:r>
              <w:rPr>
                <w:sz w:val="17"/>
              </w:rPr>
              <w:t>RAG-grounded recommendations with citations</w:t>
            </w:r>
          </w:p>
        </w:tc>
        <w:tc>
          <w:tcPr>
            <w:tcW w:type="dxa" w:w="4320"/>
          </w:tcPr>
          <w:p>
            <w:pPr>
              <w:spacing w:after="20"/>
            </w:pPr>
            <w:r/>
            <w:r>
              <w:rPr>
                <w:rFonts w:ascii="Consolas" w:hAnsi="Consolas"/>
                <w:color w:val="9C5B5B"/>
                <w:sz w:val="15"/>
              </w:rPr>
              <w:t>agents/recommendation_agent.py</w:t>
            </w:r>
            <w:r>
              <w:rPr>
                <w:sz w:val="17"/>
              </w:rPr>
              <w:t xml:space="preserve">, </w:t>
            </w:r>
            <w:r>
              <w:rPr>
                <w:rFonts w:ascii="Consolas" w:hAnsi="Consolas"/>
                <w:color w:val="9C5B5B"/>
                <w:sz w:val="15"/>
              </w:rPr>
              <w:t>rag/</w:t>
            </w:r>
          </w:p>
        </w:tc>
        <w:tc>
          <w:tcPr>
            <w:tcW w:type="dxa" w:w="1584"/>
          </w:tcPr>
          <w:p>
            <w:pPr>
              <w:spacing w:after="20"/>
            </w:pPr>
            <w:r/>
            <w:r>
              <w:rPr>
                <w:sz w:val="17"/>
              </w:rPr>
              <w:t>Implemented</w:t>
            </w:r>
          </w:p>
        </w:tc>
      </w:tr>
      <w:tr>
        <w:tc>
          <w:tcPr>
            <w:tcW w:type="dxa" w:w="4176"/>
          </w:tcPr>
          <w:p>
            <w:pPr>
              <w:spacing w:after="20"/>
            </w:pPr>
            <w:r/>
            <w:r>
              <w:rPr>
                <w:sz w:val="17"/>
              </w:rPr>
              <w:t>Deterministic Q&amp;A over computed statistics</w:t>
            </w:r>
          </w:p>
        </w:tc>
        <w:tc>
          <w:tcPr>
            <w:tcW w:type="dxa" w:w="4320"/>
          </w:tcPr>
          <w:p>
            <w:pPr>
              <w:spacing w:after="20"/>
            </w:pPr>
            <w:r/>
            <w:r>
              <w:rPr>
                <w:rFonts w:ascii="Consolas" w:hAnsi="Consolas"/>
                <w:color w:val="9C5B5B"/>
                <w:sz w:val="15"/>
              </w:rPr>
              <w:t>agents/qa_agent.py</w:t>
            </w:r>
          </w:p>
        </w:tc>
        <w:tc>
          <w:tcPr>
            <w:tcW w:type="dxa" w:w="1584"/>
          </w:tcPr>
          <w:p>
            <w:pPr>
              <w:spacing w:after="20"/>
            </w:pPr>
            <w:r/>
            <w:r>
              <w:rPr>
                <w:sz w:val="17"/>
              </w:rPr>
              <w:t>Implemented</w:t>
            </w:r>
          </w:p>
        </w:tc>
      </w:tr>
      <w:tr>
        <w:tc>
          <w:tcPr>
            <w:tcW w:type="dxa" w:w="4176"/>
          </w:tcPr>
          <w:p>
            <w:pPr>
              <w:spacing w:after="20"/>
            </w:pPr>
            <w:r/>
            <w:r>
              <w:rPr>
                <w:sz w:val="17"/>
              </w:rPr>
              <w:t>LLM (Gemini) comparison mode</w:t>
            </w:r>
          </w:p>
        </w:tc>
        <w:tc>
          <w:tcPr>
            <w:tcW w:type="dxa" w:w="4320"/>
          </w:tcPr>
          <w:p>
            <w:pPr>
              <w:spacing w:after="20"/>
            </w:pPr>
            <w:r/>
            <w:r>
              <w:rPr>
                <w:rFonts w:ascii="Consolas" w:hAnsi="Consolas"/>
                <w:color w:val="9C5B5B"/>
                <w:sz w:val="15"/>
              </w:rPr>
              <w:t>agents/llm_client.py</w:t>
            </w:r>
          </w:p>
        </w:tc>
        <w:tc>
          <w:tcPr>
            <w:tcW w:type="dxa" w:w="1584"/>
          </w:tcPr>
          <w:p>
            <w:pPr>
              <w:spacing w:after="20"/>
            </w:pPr>
            <w:r/>
            <w:r>
              <w:rPr>
                <w:sz w:val="17"/>
              </w:rPr>
              <w:t>Implemented</w:t>
            </w:r>
          </w:p>
        </w:tc>
      </w:tr>
      <w:tr>
        <w:tc>
          <w:tcPr>
            <w:tcW w:type="dxa" w:w="4176"/>
          </w:tcPr>
          <w:p>
            <w:pPr>
              <w:spacing w:after="20"/>
            </w:pPr>
            <w:r/>
            <w:r>
              <w:rPr>
                <w:sz w:val="17"/>
              </w:rPr>
              <w:t>Live agent streaming over WebSocket</w:t>
            </w:r>
          </w:p>
        </w:tc>
        <w:tc>
          <w:tcPr>
            <w:tcW w:type="dxa" w:w="4320"/>
          </w:tcPr>
          <w:p>
            <w:pPr>
              <w:spacing w:after="20"/>
            </w:pPr>
            <w:r/>
            <w:r>
              <w:rPr>
                <w:rFonts w:ascii="Consolas" w:hAnsi="Consolas"/>
                <w:color w:val="9C5B5B"/>
                <w:sz w:val="15"/>
              </w:rPr>
              <w:t>/analysis/stream</w:t>
            </w:r>
          </w:p>
        </w:tc>
        <w:tc>
          <w:tcPr>
            <w:tcW w:type="dxa" w:w="1584"/>
          </w:tcPr>
          <w:p>
            <w:pPr>
              <w:spacing w:after="20"/>
            </w:pPr>
            <w:r/>
            <w:r>
              <w:rPr>
                <w:sz w:val="17"/>
              </w:rPr>
              <w:t>Implemented</w:t>
            </w:r>
          </w:p>
        </w:tc>
      </w:tr>
      <w:tr>
        <w:tc>
          <w:tcPr>
            <w:tcW w:type="dxa" w:w="4176"/>
          </w:tcPr>
          <w:p>
            <w:pPr>
              <w:spacing w:after="20"/>
            </w:pPr>
            <w:r/>
            <w:r>
              <w:rPr>
                <w:sz w:val="17"/>
              </w:rPr>
              <w:t>Spreadsheet editing + versioned transforms</w:t>
            </w:r>
          </w:p>
        </w:tc>
        <w:tc>
          <w:tcPr>
            <w:tcW w:type="dxa" w:w="4320"/>
          </w:tcPr>
          <w:p>
            <w:pPr>
              <w:spacing w:after="20"/>
            </w:pPr>
            <w:r/>
            <w:r>
              <w:rPr>
                <w:rFonts w:ascii="Consolas" w:hAnsi="Consolas"/>
                <w:color w:val="9C5B5B"/>
                <w:sz w:val="15"/>
              </w:rPr>
              <w:t>backend/services/transform_service.py</w:t>
            </w:r>
          </w:p>
        </w:tc>
        <w:tc>
          <w:tcPr>
            <w:tcW w:type="dxa" w:w="1584"/>
          </w:tcPr>
          <w:p>
            <w:pPr>
              <w:spacing w:after="20"/>
            </w:pPr>
            <w:r/>
            <w:r>
              <w:rPr>
                <w:sz w:val="17"/>
              </w:rPr>
              <w:t>Implemented</w:t>
            </w:r>
          </w:p>
        </w:tc>
      </w:tr>
      <w:tr>
        <w:tc>
          <w:tcPr>
            <w:tcW w:type="dxa" w:w="4176"/>
          </w:tcPr>
          <w:p>
            <w:pPr>
              <w:spacing w:after="20"/>
            </w:pPr>
            <w:r/>
            <w:r>
              <w:rPr>
                <w:sz w:val="17"/>
              </w:rPr>
              <w:t>NL → SQL query console (DuckDB)</w:t>
            </w:r>
          </w:p>
        </w:tc>
        <w:tc>
          <w:tcPr>
            <w:tcW w:type="dxa" w:w="4320"/>
          </w:tcPr>
          <w:p>
            <w:pPr>
              <w:spacing w:after="20"/>
            </w:pPr>
            <w:r/>
            <w:r>
              <w:rPr>
                <w:rFonts w:ascii="Consolas" w:hAnsi="Consolas"/>
                <w:color w:val="9C5B5B"/>
                <w:sz w:val="15"/>
              </w:rPr>
              <w:t>/datasets/{id}/query/nl</w:t>
            </w:r>
          </w:p>
        </w:tc>
        <w:tc>
          <w:tcPr>
            <w:tcW w:type="dxa" w:w="1584"/>
          </w:tcPr>
          <w:p>
            <w:pPr>
              <w:spacing w:after="20"/>
            </w:pPr>
            <w:r/>
            <w:r>
              <w:rPr>
                <w:sz w:val="17"/>
              </w:rPr>
              <w:t>Implemented</w:t>
            </w:r>
          </w:p>
        </w:tc>
      </w:tr>
      <w:tr>
        <w:tc>
          <w:tcPr>
            <w:tcW w:type="dxa" w:w="4176"/>
          </w:tcPr>
          <w:p>
            <w:pPr>
              <w:spacing w:after="20"/>
            </w:pPr>
            <w:r/>
            <w:r>
              <w:rPr>
                <w:sz w:val="17"/>
              </w:rPr>
              <w:t>Persisted conversations + public sharing</w:t>
            </w:r>
          </w:p>
        </w:tc>
        <w:tc>
          <w:tcPr>
            <w:tcW w:type="dxa" w:w="4320"/>
          </w:tcPr>
          <w:p>
            <w:pPr>
              <w:spacing w:after="20"/>
            </w:pPr>
            <w:r/>
            <w:r>
              <w:rPr>
                <w:rFonts w:ascii="Consolas" w:hAnsi="Consolas"/>
                <w:color w:val="9C5B5B"/>
                <w:sz w:val="15"/>
              </w:rPr>
              <w:t>/analysis/shared/{root_run_id}</w:t>
            </w:r>
          </w:p>
        </w:tc>
        <w:tc>
          <w:tcPr>
            <w:tcW w:type="dxa" w:w="1584"/>
          </w:tcPr>
          <w:p>
            <w:pPr>
              <w:spacing w:after="20"/>
            </w:pPr>
            <w:r/>
            <w:r>
              <w:rPr>
                <w:sz w:val="17"/>
              </w:rPr>
              <w:t>Implemented</w:t>
            </w:r>
          </w:p>
        </w:tc>
      </w:tr>
      <w:tr>
        <w:tc>
          <w:tcPr>
            <w:tcW w:type="dxa" w:w="4176"/>
          </w:tcPr>
          <w:p>
            <w:pPr>
              <w:spacing w:after="20"/>
            </w:pPr>
            <w:r/>
            <w:r>
              <w:rPr>
                <w:sz w:val="17"/>
              </w:rPr>
              <w:t>Empirical evaluation harness vs. baseline</w:t>
            </w:r>
          </w:p>
        </w:tc>
        <w:tc>
          <w:tcPr>
            <w:tcW w:type="dxa" w:w="4320"/>
          </w:tcPr>
          <w:p>
            <w:pPr>
              <w:spacing w:after="20"/>
            </w:pPr>
            <w:r/>
            <w:r>
              <w:rPr>
                <w:rFonts w:ascii="Consolas" w:hAnsi="Consolas"/>
                <w:color w:val="9C5B5B"/>
                <w:sz w:val="15"/>
              </w:rPr>
              <w:t>evaluation/</w:t>
            </w:r>
          </w:p>
        </w:tc>
        <w:tc>
          <w:tcPr>
            <w:tcW w:type="dxa" w:w="1584"/>
          </w:tcPr>
          <w:p>
            <w:pPr>
              <w:spacing w:after="20"/>
            </w:pPr>
            <w:r/>
            <w:r>
              <w:rPr>
                <w:sz w:val="17"/>
              </w:rPr>
              <w:t>Implemented</w:t>
            </w:r>
          </w:p>
        </w:tc>
      </w:tr>
      <w:tr>
        <w:tc>
          <w:tcPr>
            <w:tcW w:type="dxa" w:w="4176"/>
          </w:tcPr>
          <w:p>
            <w:pPr>
              <w:spacing w:after="20"/>
            </w:pPr>
            <w:r/>
            <w:r>
              <w:rPr>
                <w:sz w:val="17"/>
              </w:rPr>
              <w:t>Seasonal decomposition (time series)</w:t>
            </w:r>
          </w:p>
        </w:tc>
        <w:tc>
          <w:tcPr>
            <w:tcW w:type="dxa" w:w="4320"/>
          </w:tcPr>
          <w:p>
            <w:pPr>
              <w:spacing w:after="20"/>
            </w:pPr>
            <w:r/>
            <w:r>
              <w:rPr>
                <w:rFonts w:ascii="Consolas" w:hAnsi="Consolas"/>
                <w:color w:val="9C5B5B"/>
                <w:sz w:val="15"/>
              </w:rPr>
              <w:t>agents/temporal.py</w:t>
            </w:r>
          </w:p>
        </w:tc>
        <w:tc>
          <w:tcPr>
            <w:tcW w:type="dxa" w:w="1584"/>
          </w:tcPr>
          <w:p>
            <w:pPr>
              <w:spacing w:after="20"/>
            </w:pPr>
            <w:r/>
            <w:r>
              <w:rPr>
                <w:sz w:val="17"/>
              </w:rPr>
              <w:t>Implemented — data-gated</w:t>
            </w:r>
          </w:p>
        </w:tc>
      </w:tr>
    </w:tbl>
    <w:p>
      <w:pPr>
        <w:pStyle w:val="Heading1"/>
      </w:pPr>
      <w:r>
        <w:t>2.  Architecture</w:t>
      </w:r>
    </w:p>
    <w:p>
      <w:pPr>
        <w:spacing w:after="80"/>
      </w:pPr>
      <w:r>
        <w:rPr>
          <w:rFonts w:ascii="Calibri" w:hAnsi="Calibri"/>
          <w:b w:val="0"/>
          <w:i w:val="0"/>
          <w:sz w:val="19"/>
        </w:rPr>
        <w:t xml:space="preserve">A </w:t>
      </w:r>
      <w:r>
        <w:rPr>
          <w:rFonts w:ascii="Calibri" w:hAnsi="Calibri"/>
          <w:b/>
          <w:i w:val="0"/>
          <w:sz w:val="19"/>
        </w:rPr>
        <w:t>modular monolith</w:t>
      </w:r>
      <w:r>
        <w:rPr>
          <w:rFonts w:ascii="Calibri" w:hAnsi="Calibri"/>
          <w:b w:val="0"/>
          <w:i w:val="0"/>
          <w:sz w:val="19"/>
        </w:rPr>
        <w:t>, not microservices. One FastAPI process, one Next.js process, one Postgres. The "multi-agent" system is in-process Python classes coordinated by an orchestrator — there is no message bus and no inter-agent network traffic. This is a deliberate choice, defended in Section 6.</w:t>
      </w:r>
    </w:p>
    <w:tbl>
      <w:tblPr>
        <w:tblStyle w:val="TableGrid"/>
        <w:tblW w:type="auto" w:w="0"/>
        <w:tblLook w:firstColumn="1" w:firstRow="1" w:lastColumn="0" w:lastRow="0" w:noHBand="0" w:noVBand="1" w:val="04A0"/>
      </w:tblPr>
      <w:tblGrid>
        <w:gridCol w:w="10080"/>
      </w:tblGrid>
      <w:tr>
        <w:tc>
          <w:tcPr>
            <w:tcW w:type="dxa" w:w="10080"/>
            <w:shd w:fill="FAF8F6"/>
          </w:tcPr>
          <w:p>
            <w:pPr>
              <w:spacing w:after="0" w:line="240" w:lineRule="auto"/>
            </w:pPr>
            <w:r/>
            <w:r>
              <w:rPr>
                <w:rFonts w:ascii="Consolas" w:hAnsi="Consolas"/>
                <w:color w:val="1F2A44"/>
                <w:sz w:val="15"/>
              </w:rPr>
              <w:t xml:space="preserve">  ┌──────────────────────────────────────────────────────────────────────────────┐</w:t>
            </w:r>
          </w:p>
          <w:p>
            <w:pPr>
              <w:spacing w:after="0" w:line="240" w:lineRule="auto"/>
            </w:pPr>
            <w:r>
              <w:rPr>
                <w:rFonts w:ascii="Consolas" w:hAnsi="Consolas"/>
                <w:color w:val="1F2A44"/>
                <w:sz w:val="15"/>
              </w:rPr>
              <w:t xml:space="preserve">  │  BROWSER    Next.js 16 · React 19 · Tailwind 4      :3000                     │</w:t>
            </w:r>
          </w:p>
          <w:p>
            <w:pPr>
              <w:spacing w:after="0" w:line="240" w:lineRule="auto"/>
            </w:pPr>
            <w:r>
              <w:rPr>
                <w:rFonts w:ascii="Consolas" w:hAnsi="Consolas"/>
                <w:color w:val="1F2A44"/>
                <w:sz w:val="15"/>
              </w:rPr>
              <w:t xml:space="preserve">  │  /dashboard/analysis/[id]   /dashboard/datasets/[id]   /share/[runId] (public)│</w:t>
            </w:r>
          </w:p>
          <w:p>
            <w:pPr>
              <w:spacing w:after="0" w:line="240" w:lineRule="auto"/>
            </w:pPr>
            <w:r>
              <w:rPr>
                <w:rFonts w:ascii="Consolas" w:hAnsi="Consolas"/>
                <w:color w:val="1F2A44"/>
                <w:sz w:val="15"/>
              </w:rPr>
              <w:t xml:space="preserve">  └───────────────┬──────────────────────────────────┬───────────────────────────┘</w:t>
            </w:r>
          </w:p>
          <w:p>
            <w:pPr>
              <w:spacing w:after="0" w:line="240" w:lineRule="auto"/>
            </w:pPr>
            <w:r>
              <w:rPr>
                <w:rFonts w:ascii="Consolas" w:hAnsi="Consolas"/>
                <w:color w:val="1F2A44"/>
                <w:sz w:val="15"/>
              </w:rPr>
              <w:t xml:space="preserve">                  │ HTTPS multipart / JSON           │ WebSocket (live agent trail)</w:t>
            </w:r>
          </w:p>
          <w:p>
            <w:pPr>
              <w:spacing w:after="0" w:line="240" w:lineRule="auto"/>
            </w:pPr>
            <w:r>
              <w:rPr>
                <w:rFonts w:ascii="Consolas" w:hAnsi="Consolas"/>
                <w:color w:val="1F2A44"/>
                <w:sz w:val="15"/>
              </w:rPr>
              <w:t xml:space="preserve">  ┌───────────────▼──────────────────────────────────▼───────────────────────────┐</w:t>
            </w:r>
          </w:p>
          <w:p>
            <w:pPr>
              <w:spacing w:after="0" w:line="240" w:lineRule="auto"/>
            </w:pPr>
            <w:r>
              <w:rPr>
                <w:rFonts w:ascii="Consolas" w:hAnsi="Consolas"/>
                <w:color w:val="1F2A44"/>
                <w:sz w:val="15"/>
              </w:rPr>
              <w:t xml:space="preserve">  │  FastAPI  :8000     JWT auth · SlowAPI rate limit · Pydantic v2 validation    │</w:t>
            </w:r>
          </w:p>
          <w:p>
            <w:pPr>
              <w:spacing w:after="0" w:line="240" w:lineRule="auto"/>
            </w:pPr>
            <w:r>
              <w:rPr>
                <w:rFonts w:ascii="Consolas" w:hAnsi="Consolas"/>
                <w:color w:val="1F2A44"/>
                <w:sz w:val="15"/>
              </w:rPr>
              <w:t xml:space="preserve">  │  routers/  analysis.py (24 routes) · auth.py · oauth.py · health.py           │</w:t>
            </w:r>
          </w:p>
          <w:p>
            <w:pPr>
              <w:spacing w:after="0" w:line="240" w:lineRule="auto"/>
            </w:pPr>
            <w:r>
              <w:rPr>
                <w:rFonts w:ascii="Consolas" w:hAnsi="Consolas"/>
                <w:color w:val="1F2A44"/>
                <w:sz w:val="15"/>
              </w:rPr>
              <w:t xml:space="preserve">  │  services/ orchestrator · dataset · transform · run_memory · export           │</w:t>
            </w:r>
          </w:p>
          <w:p>
            <w:pPr>
              <w:spacing w:after="0" w:line="240" w:lineRule="auto"/>
            </w:pPr>
            <w:r>
              <w:rPr>
                <w:rFonts w:ascii="Consolas" w:hAnsi="Consolas"/>
                <w:color w:val="1F2A44"/>
                <w:sz w:val="15"/>
              </w:rPr>
              <w:t xml:space="preserve">  └───────────────┬──────────────────────────────────────────────────────────────┘</w:t>
            </w:r>
          </w:p>
          <w:p>
            <w:pPr>
              <w:spacing w:after="0" w:line="240" w:lineRule="auto"/>
            </w:pPr>
            <w:r>
              <w:rPr>
                <w:rFonts w:ascii="Consolas" w:hAnsi="Consolas"/>
                <w:color w:val="1F2A44"/>
                <w:sz w:val="15"/>
              </w:rPr>
              <w:t xml:space="preserve">                  │</w:t>
            </w:r>
          </w:p>
          <w:p>
            <w:pPr>
              <w:spacing w:after="0" w:line="240" w:lineRule="auto"/>
            </w:pPr>
            <w:r>
              <w:rPr>
                <w:rFonts w:ascii="Consolas" w:hAnsi="Consolas"/>
                <w:color w:val="1F2A44"/>
                <w:sz w:val="15"/>
              </w:rPr>
              <w:t xml:space="preserve">  ┌───────────────▼──────────────────────────────────────────────────────────────┐</w:t>
            </w:r>
          </w:p>
          <w:p>
            <w:pPr>
              <w:spacing w:after="0" w:line="240" w:lineRule="auto"/>
            </w:pPr>
            <w:r>
              <w:rPr>
                <w:rFonts w:ascii="Consolas" w:hAnsi="Consolas"/>
                <w:color w:val="1F2A44"/>
                <w:sz w:val="15"/>
              </w:rPr>
              <w:t xml:space="preserve">  │  OrchestratorAgent          ReAct: Reason → Act → Observe   (cap 10 steps)    │</w:t>
            </w:r>
          </w:p>
          <w:p>
            <w:pPr>
              <w:spacing w:after="0" w:line="240" w:lineRule="auto"/>
            </w:pPr>
            <w:r>
              <w:rPr>
                <w:rFonts w:ascii="Consolas" w:hAnsi="Consolas"/>
                <w:color w:val="1F2A44"/>
                <w:sz w:val="15"/>
              </w:rPr>
              <w:t xml:space="preserve">  │      │                                                                        │</w:t>
            </w:r>
          </w:p>
          <w:p>
            <w:pPr>
              <w:spacing w:after="0" w:line="240" w:lineRule="auto"/>
            </w:pPr>
            <w:r>
              <w:rPr>
                <w:rFonts w:ascii="Consolas" w:hAnsi="Consolas"/>
                <w:color w:val="1F2A44"/>
                <w:sz w:val="15"/>
              </w:rPr>
              <w:t xml:space="preserve">  │      ├─ GoalClassifier ──► task type ──► PipelinePlanner ──► directives       │</w:t>
            </w:r>
          </w:p>
          <w:p>
            <w:pPr>
              <w:spacing w:after="0" w:line="240" w:lineRule="auto"/>
            </w:pPr>
            <w:r>
              <w:rPr>
                <w:rFonts w:ascii="Consolas" w:hAnsi="Consolas"/>
                <w:color w:val="1F2A44"/>
                <w:sz w:val="15"/>
              </w:rPr>
              <w:t xml:space="preserve">  │      │                                                                        │</w:t>
            </w:r>
          </w:p>
          <w:p>
            <w:pPr>
              <w:spacing w:after="0" w:line="240" w:lineRule="auto"/>
            </w:pPr>
            <w:r>
              <w:rPr>
                <w:rFonts w:ascii="Consolas" w:hAnsi="Consolas"/>
                <w:color w:val="1F2A44"/>
                <w:sz w:val="15"/>
              </w:rPr>
              <w:t xml:space="preserve">  │      ├─ IngestionAgent    profile, dtypes, quality                            │</w:t>
            </w:r>
          </w:p>
          <w:p>
            <w:pPr>
              <w:spacing w:after="0" w:line="240" w:lineRule="auto"/>
            </w:pPr>
            <w:r>
              <w:rPr>
                <w:rFonts w:ascii="Consolas" w:hAnsi="Consolas"/>
                <w:color w:val="1F2A44"/>
                <w:sz w:val="15"/>
              </w:rPr>
              <w:t xml:space="preserve">  │      ├─ MiningAgent       ONLY the computations the goal asked for            │</w:t>
            </w:r>
          </w:p>
          <w:p>
            <w:pPr>
              <w:spacing w:after="0" w:line="240" w:lineRule="auto"/>
            </w:pPr>
            <w:r>
              <w:rPr>
                <w:rFonts w:ascii="Consolas" w:hAnsi="Consolas"/>
                <w:color w:val="1F2A44"/>
                <w:sz w:val="15"/>
              </w:rPr>
              <w:t xml:space="preserve">  │      ├─ (reflect)         weak silhouette / low R² ⇒ change the next step     │</w:t>
            </w:r>
          </w:p>
          <w:p>
            <w:pPr>
              <w:spacing w:after="0" w:line="240" w:lineRule="auto"/>
            </w:pPr>
            <w:r>
              <w:rPr>
                <w:rFonts w:ascii="Consolas" w:hAnsi="Consolas"/>
                <w:color w:val="1F2A44"/>
                <w:sz w:val="15"/>
              </w:rPr>
              <w:t xml:space="preserve">  │      ├─ VisualizationAgent  chart specs conditioned on task type              │</w:t>
            </w:r>
          </w:p>
          <w:p>
            <w:pPr>
              <w:spacing w:after="0" w:line="240" w:lineRule="auto"/>
            </w:pPr>
            <w:r>
              <w:rPr>
                <w:rFonts w:ascii="Consolas" w:hAnsi="Consolas"/>
                <w:color w:val="1F2A44"/>
                <w:sz w:val="15"/>
              </w:rPr>
              <w:t xml:space="preserve">  │      └─ RecommendationAgent  QAAgent → RAG retrieval → Gemini                 │</w:t>
            </w:r>
          </w:p>
          <w:p>
            <w:pPr>
              <w:spacing w:after="0" w:line="240" w:lineRule="auto"/>
            </w:pPr>
            <w:r>
              <w:rPr>
                <w:rFonts w:ascii="Consolas" w:hAnsi="Consolas"/>
                <w:color w:val="1F2A44"/>
                <w:sz w:val="15"/>
              </w:rPr>
              <w:t xml:space="preserve">  └───────────┬───────────────────────────────┬──────────────────────────────────┘</w:t>
            </w:r>
          </w:p>
          <w:p>
            <w:pPr>
              <w:spacing w:after="0" w:line="240" w:lineRule="auto"/>
            </w:pPr>
            <w:r>
              <w:rPr>
                <w:rFonts w:ascii="Consolas" w:hAnsi="Consolas"/>
                <w:color w:val="1F2A44"/>
                <w:sz w:val="15"/>
              </w:rPr>
              <w:t xml:space="preserve">              │                               │</w:t>
            </w:r>
          </w:p>
          <w:p>
            <w:pPr>
              <w:spacing w:after="0" w:line="240" w:lineRule="auto"/>
            </w:pPr>
            <w:r>
              <w:rPr>
                <w:rFonts w:ascii="Consolas" w:hAnsi="Consolas"/>
                <w:color w:val="1F2A44"/>
                <w:sz w:val="15"/>
              </w:rPr>
              <w:t xml:space="preserve">  ┌───────────▼─────────────┐     ┌───────────▼──────────────┐   ┌───────────────┐</w:t>
            </w:r>
          </w:p>
          <w:p>
            <w:pPr>
              <w:spacing w:after="0" w:line="240" w:lineRule="auto"/>
            </w:pPr>
            <w:r>
              <w:rPr>
                <w:rFonts w:ascii="Consolas" w:hAnsi="Consolas"/>
                <w:color w:val="1F2A44"/>
                <w:sz w:val="15"/>
              </w:rPr>
              <w:t xml:space="preserve">  │ ChromaDB (embedded)     │     │ PostgreSQL 16            │   │ Gemini API    │</w:t>
            </w:r>
          </w:p>
          <w:p>
            <w:pPr>
              <w:spacing w:after="0" w:line="240" w:lineRule="auto"/>
            </w:pPr>
            <w:r>
              <w:rPr>
                <w:rFonts w:ascii="Consolas" w:hAnsi="Consolas"/>
                <w:color w:val="1F2A44"/>
                <w:sz w:val="15"/>
              </w:rPr>
              <w:t xml:space="preserve">  │ all-MiniLM-L6-v2, 384-d │     │ users · datasets ·       │   │ (LLM mode +   │</w:t>
            </w:r>
          </w:p>
          <w:p>
            <w:pPr>
              <w:spacing w:after="0" w:line="240" w:lineRule="auto"/>
            </w:pPr>
            <w:r>
              <w:rPr>
                <w:rFonts w:ascii="Consolas" w:hAnsi="Consolas"/>
                <w:color w:val="1F2A44"/>
                <w:sz w:val="15"/>
              </w:rPr>
              <w:t xml:space="preserve">  │ EDA methodology corpus  │     │ analysis_runs · memory   │   │  explanations)│</w:t>
            </w:r>
          </w:p>
          <w:p>
            <w:pPr>
              <w:spacing w:after="0" w:line="240" w:lineRule="auto"/>
            </w:pPr>
            <w:r>
              <w:rPr>
                <w:rFonts w:ascii="Consolas" w:hAnsi="Consolas"/>
                <w:color w:val="1F2A44"/>
                <w:sz w:val="15"/>
              </w:rPr>
              <w:t xml:space="preserve">  └─────────────────────────┘     └──────────────────────────┘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2EEE9"/>
          </w:tcPr>
          <w:p>
            <w:pPr>
              <w:spacing w:after="40"/>
            </w:pPr>
            <w:r/>
            <w:r>
              <w:rPr>
                <w:b/>
                <w:color w:val="9C5B5B"/>
                <w:sz w:val="17"/>
              </w:rPr>
              <w:t xml:space="preserve">THE ONE THING TO REMEMBER  </w:t>
            </w:r>
            <w:r>
              <w:rPr>
                <w:sz w:val="18"/>
              </w:rPr>
              <w:t>The orchestrator is the only component aware of the other agents. Specialists never call each other. That isolation is what makes each agent independently testable — and it is why the suite can be 1008 tests.</w:t>
            </w:r>
          </w:p>
        </w:tc>
      </w:tr>
    </w:tbl>
    <w:p>
      <w:pPr>
        <w:spacing w:after="40"/>
      </w:pPr>
    </w:p>
    <w:p>
      <w:r>
        <w:br w:type="page"/>
      </w:r>
    </w:p>
    <w:p>
      <w:pPr>
        <w:pStyle w:val="Heading1"/>
      </w:pPr>
      <w:r>
        <w:t>3.  Technology stack — what, where, and why</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F2A44"/>
          </w:tcPr>
          <w:p>
            <w:pPr>
              <w:spacing w:after="20"/>
            </w:pPr>
            <w:r/>
            <w:r>
              <w:rPr>
                <w:b/>
                <w:color w:val="FFFFFF"/>
                <w:sz w:val="17"/>
              </w:rPr>
              <w:t>Technology</w:t>
            </w:r>
          </w:p>
        </w:tc>
        <w:tc>
          <w:tcPr>
            <w:tcW w:type="dxa" w:w="2232"/>
            <w:shd w:fill="1F2A44"/>
          </w:tcPr>
          <w:p>
            <w:pPr>
              <w:spacing w:after="20"/>
            </w:pPr>
            <w:r/>
            <w:r>
              <w:rPr>
                <w:b/>
                <w:color w:val="FFFFFF"/>
                <w:sz w:val="17"/>
              </w:rPr>
              <w:t>Where</w:t>
            </w:r>
          </w:p>
        </w:tc>
        <w:tc>
          <w:tcPr>
            <w:tcW w:type="dxa" w:w="5904"/>
            <w:shd w:fill="1F2A44"/>
          </w:tcPr>
          <w:p>
            <w:pPr>
              <w:spacing w:after="20"/>
            </w:pPr>
            <w:r/>
            <w:r>
              <w:rPr>
                <w:b/>
                <w:color w:val="FFFFFF"/>
                <w:sz w:val="17"/>
              </w:rPr>
              <w:t>Why this and not the obvious alternative</w:t>
            </w:r>
          </w:p>
        </w:tc>
      </w:tr>
      <w:tr>
        <w:tc>
          <w:tcPr>
            <w:tcW w:type="dxa" w:w="1944"/>
          </w:tcPr>
          <w:p>
            <w:pPr>
              <w:spacing w:after="20"/>
            </w:pPr>
            <w:r/>
            <w:r>
              <w:rPr>
                <w:sz w:val="17"/>
              </w:rPr>
              <w:t>FastAPI + Pydantic v2</w:t>
            </w:r>
          </w:p>
        </w:tc>
        <w:tc>
          <w:tcPr>
            <w:tcW w:type="dxa" w:w="2232"/>
          </w:tcPr>
          <w:p>
            <w:pPr>
              <w:spacing w:after="20"/>
            </w:pPr>
            <w:r/>
            <w:r>
              <w:rPr>
                <w:rFonts w:ascii="Consolas" w:hAnsi="Consolas"/>
                <w:color w:val="9C5B5B"/>
                <w:sz w:val="15"/>
              </w:rPr>
              <w:t>backend/main.py</w:t>
            </w:r>
            <w:r>
              <w:rPr>
                <w:sz w:val="17"/>
              </w:rPr>
              <w:t xml:space="preserve">, </w:t>
            </w:r>
            <w:r>
              <w:rPr>
                <w:rFonts w:ascii="Consolas" w:hAnsi="Consolas"/>
                <w:color w:val="9C5B5B"/>
                <w:sz w:val="15"/>
              </w:rPr>
              <w:t>routers/</w:t>
            </w:r>
          </w:p>
        </w:tc>
        <w:tc>
          <w:tcPr>
            <w:tcW w:type="dxa" w:w="5904"/>
          </w:tcPr>
          <w:p>
            <w:pPr>
              <w:spacing w:after="20"/>
            </w:pPr>
            <w:r/>
            <w:r>
              <w:rPr>
                <w:sz w:val="17"/>
              </w:rPr>
              <w:t>Validation is declarative and typed, so malformed input becomes a 422 at the boundary rather than a 500 deep inside the pipeline. Async suits the WebSocket streaming path.</w:t>
            </w:r>
          </w:p>
        </w:tc>
      </w:tr>
      <w:tr>
        <w:tc>
          <w:tcPr>
            <w:tcW w:type="dxa" w:w="1944"/>
          </w:tcPr>
          <w:p>
            <w:pPr>
              <w:spacing w:after="20"/>
            </w:pPr>
            <w:r/>
            <w:r>
              <w:rPr>
                <w:sz w:val="17"/>
              </w:rPr>
              <w:t>Next.js 16 / React 19</w:t>
            </w:r>
          </w:p>
        </w:tc>
        <w:tc>
          <w:tcPr>
            <w:tcW w:type="dxa" w:w="2232"/>
          </w:tcPr>
          <w:p>
            <w:pPr>
              <w:spacing w:after="20"/>
            </w:pPr>
            <w:r/>
            <w:r>
              <w:rPr>
                <w:rFonts w:ascii="Consolas" w:hAnsi="Consolas"/>
                <w:color w:val="9C5B5B"/>
                <w:sz w:val="15"/>
              </w:rPr>
              <w:t>frontend/app/</w:t>
            </w:r>
          </w:p>
        </w:tc>
        <w:tc>
          <w:tcPr>
            <w:tcW w:type="dxa" w:w="5904"/>
          </w:tcPr>
          <w:p>
            <w:pPr>
              <w:spacing w:after="20"/>
            </w:pPr>
            <w:r/>
            <w:r>
              <w:rPr>
                <w:sz w:val="17"/>
              </w:rPr>
              <w:t>App Router gives a public share route outside the auth guard without a second app. React Compiler is on, so no manual memoisation.</w:t>
            </w:r>
          </w:p>
        </w:tc>
      </w:tr>
      <w:tr>
        <w:tc>
          <w:tcPr>
            <w:tcW w:type="dxa" w:w="1944"/>
          </w:tcPr>
          <w:p>
            <w:pPr>
              <w:spacing w:after="20"/>
            </w:pPr>
            <w:r/>
            <w:r>
              <w:rPr>
                <w:sz w:val="17"/>
              </w:rPr>
              <w:t>PostgreSQL 16</w:t>
            </w:r>
          </w:p>
        </w:tc>
        <w:tc>
          <w:tcPr>
            <w:tcW w:type="dxa" w:w="2232"/>
          </w:tcPr>
          <w:p>
            <w:pPr>
              <w:spacing w:after="20"/>
            </w:pPr>
            <w:r/>
            <w:r>
              <w:rPr>
                <w:rFonts w:ascii="Consolas" w:hAnsi="Consolas"/>
                <w:color w:val="9C5B5B"/>
                <w:sz w:val="15"/>
              </w:rPr>
              <w:t>backend/models/</w:t>
            </w:r>
          </w:p>
        </w:tc>
        <w:tc>
          <w:tcPr>
            <w:tcW w:type="dxa" w:w="5904"/>
          </w:tcPr>
          <w:p>
            <w:pPr>
              <w:spacing w:after="20"/>
            </w:pPr>
            <w:r/>
            <w:r>
              <w:rPr>
                <w:sz w:val="17"/>
              </w:rPr>
              <w:t>Runs are stored with their full JSON payload so history re-renders exactly as returned, with no pipeline re-run.</w:t>
            </w:r>
          </w:p>
        </w:tc>
      </w:tr>
      <w:tr>
        <w:tc>
          <w:tcPr>
            <w:tcW w:type="dxa" w:w="1944"/>
          </w:tcPr>
          <w:p>
            <w:pPr>
              <w:spacing w:after="20"/>
            </w:pPr>
            <w:r/>
            <w:r>
              <w:rPr>
                <w:sz w:val="17"/>
              </w:rPr>
              <w:t>ChromaDB (embedded)</w:t>
            </w:r>
          </w:p>
        </w:tc>
        <w:tc>
          <w:tcPr>
            <w:tcW w:type="dxa" w:w="2232"/>
          </w:tcPr>
          <w:p>
            <w:pPr>
              <w:spacing w:after="20"/>
            </w:pPr>
            <w:r/>
            <w:r>
              <w:rPr>
                <w:rFonts w:ascii="Consolas" w:hAnsi="Consolas"/>
                <w:color w:val="9C5B5B"/>
                <w:sz w:val="15"/>
              </w:rPr>
              <w:t>rag/vector_store.py</w:t>
            </w:r>
          </w:p>
        </w:tc>
        <w:tc>
          <w:tcPr>
            <w:tcW w:type="dxa" w:w="5904"/>
          </w:tcPr>
          <w:p>
            <w:pPr>
              <w:spacing w:after="20"/>
            </w:pPr>
            <w:r/>
            <w:r>
              <w:rPr>
                <w:sz w:val="17"/>
              </w:rPr>
              <w:t>Embedded PersistentClient — no separate vector-DB service to deploy or keep alive for a student project. A FAISS backend is implemented behind the same interface, selectable by env var.</w:t>
            </w:r>
          </w:p>
        </w:tc>
      </w:tr>
      <w:tr>
        <w:tc>
          <w:tcPr>
            <w:tcW w:type="dxa" w:w="1944"/>
          </w:tcPr>
          <w:p>
            <w:pPr>
              <w:spacing w:after="20"/>
            </w:pPr>
            <w:r/>
            <w:r>
              <w:rPr>
                <w:sz w:val="17"/>
              </w:rPr>
              <w:t>all-MiniLM-L6-v2 (384-d)</w:t>
            </w:r>
          </w:p>
        </w:tc>
        <w:tc>
          <w:tcPr>
            <w:tcW w:type="dxa" w:w="2232"/>
          </w:tcPr>
          <w:p>
            <w:pPr>
              <w:spacing w:after="20"/>
            </w:pPr>
            <w:r/>
            <w:r>
              <w:rPr>
                <w:rFonts w:ascii="Consolas" w:hAnsi="Consolas"/>
                <w:color w:val="9C5B5B"/>
                <w:sz w:val="15"/>
              </w:rPr>
              <w:t>rag/embeddings.py</w:t>
            </w:r>
          </w:p>
        </w:tc>
        <w:tc>
          <w:tcPr>
            <w:tcW w:type="dxa" w:w="5904"/>
          </w:tcPr>
          <w:p>
            <w:pPr>
              <w:spacing w:after="20"/>
            </w:pPr>
            <w:r/>
            <w:r>
              <w:rPr>
                <w:sz w:val="17"/>
              </w:rPr>
              <w:t>Runs locally on CPU. The RAG path therefore works with no API key at all — which matters, because it is the path the thesis depends on.</w:t>
            </w:r>
          </w:p>
        </w:tc>
      </w:tr>
      <w:tr>
        <w:tc>
          <w:tcPr>
            <w:tcW w:type="dxa" w:w="1944"/>
          </w:tcPr>
          <w:p>
            <w:pPr>
              <w:spacing w:after="20"/>
            </w:pPr>
            <w:r/>
            <w:r>
              <w:rPr>
                <w:sz w:val="17"/>
              </w:rPr>
              <w:t>scikit-learn + SHAP</w:t>
            </w:r>
          </w:p>
        </w:tc>
        <w:tc>
          <w:tcPr>
            <w:tcW w:type="dxa" w:w="2232"/>
          </w:tcPr>
          <w:p>
            <w:pPr>
              <w:spacing w:after="20"/>
            </w:pPr>
            <w:r/>
            <w:r>
              <w:rPr>
                <w:rFonts w:ascii="Consolas" w:hAnsi="Consolas"/>
                <w:color w:val="9C5B5B"/>
                <w:sz w:val="15"/>
              </w:rPr>
              <w:t>agents/mining_agent.py</w:t>
            </w:r>
          </w:p>
        </w:tc>
        <w:tc>
          <w:tcPr>
            <w:tcW w:type="dxa" w:w="5904"/>
          </w:tcPr>
          <w:p>
            <w:pPr>
              <w:spacing w:after="20"/>
            </w:pPr>
            <w:r/>
            <w:r>
              <w:rPr>
                <w:sz w:val="17"/>
              </w:rPr>
              <w:t>SHAP gives per-feature attribution. It pins numpy &lt; 2.5 via numba; if dropped, mining falls back to permutation importance and labels the output as such.</w:t>
            </w:r>
          </w:p>
        </w:tc>
      </w:tr>
      <w:tr>
        <w:tc>
          <w:tcPr>
            <w:tcW w:type="dxa" w:w="1944"/>
          </w:tcPr>
          <w:p>
            <w:pPr>
              <w:spacing w:after="20"/>
            </w:pPr>
            <w:r/>
            <w:r>
              <w:rPr>
                <w:sz w:val="17"/>
              </w:rPr>
              <w:t>statsmodels</w:t>
            </w:r>
          </w:p>
        </w:tc>
        <w:tc>
          <w:tcPr>
            <w:tcW w:type="dxa" w:w="2232"/>
          </w:tcPr>
          <w:p>
            <w:pPr>
              <w:spacing w:after="20"/>
            </w:pPr>
            <w:r/>
            <w:r>
              <w:rPr>
                <w:rFonts w:ascii="Consolas" w:hAnsi="Consolas"/>
                <w:color w:val="9C5B5B"/>
                <w:sz w:val="15"/>
              </w:rPr>
              <w:t>agents/temporal.py</w:t>
            </w:r>
          </w:p>
        </w:tc>
        <w:tc>
          <w:tcPr>
            <w:tcW w:type="dxa" w:w="5904"/>
          </w:tcPr>
          <w:p>
            <w:pPr>
              <w:spacing w:after="20"/>
            </w:pPr>
            <w:r/>
            <w:r>
              <w:rPr>
                <w:sz w:val="17"/>
              </w:rPr>
              <w:t>Seasonal decomposition. Gated on a detected time axis in the data, not on the plan requesting it.</w:t>
            </w:r>
          </w:p>
        </w:tc>
      </w:tr>
      <w:tr>
        <w:tc>
          <w:tcPr>
            <w:tcW w:type="dxa" w:w="1944"/>
          </w:tcPr>
          <w:p>
            <w:pPr>
              <w:spacing w:after="20"/>
            </w:pPr>
            <w:r/>
            <w:r>
              <w:rPr>
                <w:sz w:val="17"/>
              </w:rPr>
              <w:t>DuckDB</w:t>
            </w:r>
          </w:p>
        </w:tc>
        <w:tc>
          <w:tcPr>
            <w:tcW w:type="dxa" w:w="2232"/>
          </w:tcPr>
          <w:p>
            <w:pPr>
              <w:spacing w:after="20"/>
            </w:pPr>
            <w:r/>
            <w:r>
              <w:rPr>
                <w:rFonts w:ascii="Consolas" w:hAnsi="Consolas"/>
                <w:color w:val="9C5B5B"/>
                <w:sz w:val="15"/>
              </w:rPr>
              <w:t>/datasets/{id}/query</w:t>
            </w:r>
          </w:p>
        </w:tc>
        <w:tc>
          <w:tcPr>
            <w:tcW w:type="dxa" w:w="5904"/>
          </w:tcPr>
          <w:p>
            <w:pPr>
              <w:spacing w:after="20"/>
            </w:pPr>
            <w:r/>
            <w:r>
              <w:rPr>
                <w:sz w:val="17"/>
              </w:rPr>
              <w:t>Sandboxed SQL directly over a DataFrame — the NL→SQL console cannot reach the application database.</w:t>
            </w:r>
          </w:p>
        </w:tc>
      </w:tr>
      <w:tr>
        <w:tc>
          <w:tcPr>
            <w:tcW w:type="dxa" w:w="1944"/>
          </w:tcPr>
          <w:p>
            <w:pPr>
              <w:spacing w:after="20"/>
            </w:pPr>
            <w:r/>
            <w:r>
              <w:rPr>
                <w:sz w:val="17"/>
              </w:rPr>
              <w:t>Google Gemini</w:t>
            </w:r>
          </w:p>
        </w:tc>
        <w:tc>
          <w:tcPr>
            <w:tcW w:type="dxa" w:w="2232"/>
          </w:tcPr>
          <w:p>
            <w:pPr>
              <w:spacing w:after="20"/>
            </w:pPr>
            <w:r/>
            <w:r>
              <w:rPr>
                <w:rFonts w:ascii="Consolas" w:hAnsi="Consolas"/>
                <w:color w:val="9C5B5B"/>
                <w:sz w:val="15"/>
              </w:rPr>
              <w:t>agents/llm_client.py</w:t>
            </w:r>
          </w:p>
        </w:tc>
        <w:tc>
          <w:tcPr>
            <w:tcW w:type="dxa" w:w="5904"/>
          </w:tcPr>
          <w:p>
            <w:pPr>
              <w:spacing w:after="20"/>
            </w:pPr>
            <w:r/>
            <w:r>
              <w:rPr>
                <w:sz w:val="17"/>
              </w:rPr>
              <w:t>The comparison arm of the thesis, plus per-card explanations. Optional: absent a key, the system degrades to the grounded path.</w:t>
            </w:r>
          </w:p>
        </w:tc>
      </w:tr>
      <w:tr>
        <w:tc>
          <w:tcPr>
            <w:tcW w:type="dxa" w:w="1944"/>
          </w:tcPr>
          <w:p>
            <w:pPr>
              <w:spacing w:after="20"/>
            </w:pPr>
            <w:r/>
            <w:r>
              <w:rPr>
                <w:sz w:val="17"/>
              </w:rPr>
              <w:t>Docker Compose</w:t>
            </w:r>
          </w:p>
        </w:tc>
        <w:tc>
          <w:tcPr>
            <w:tcW w:type="dxa" w:w="2232"/>
          </w:tcPr>
          <w:p>
            <w:pPr>
              <w:spacing w:after="20"/>
            </w:pPr>
            <w:r/>
            <w:r>
              <w:rPr>
                <w:rFonts w:ascii="Consolas" w:hAnsi="Consolas"/>
                <w:color w:val="9C5B5B"/>
                <w:sz w:val="15"/>
              </w:rPr>
              <w:t>docker-compose.yml</w:t>
            </w:r>
          </w:p>
        </w:tc>
        <w:tc>
          <w:tcPr>
            <w:tcW w:type="dxa" w:w="5904"/>
          </w:tcPr>
          <w:p>
            <w:pPr>
              <w:spacing w:after="20"/>
            </w:pPr>
            <w:r/>
            <w:r>
              <w:rPr>
                <w:sz w:val="17"/>
              </w:rPr>
              <w:t xml:space="preserve">Three services. Note: source is baked into the images — code changes need </w:t>
            </w:r>
            <w:r>
              <w:rPr>
                <w:rFonts w:ascii="Consolas" w:hAnsi="Consolas"/>
                <w:color w:val="9C5B5B"/>
                <w:sz w:val="15"/>
              </w:rPr>
              <w:t>--build</w:t>
            </w:r>
            <w:r>
              <w:rPr>
                <w:sz w:val="17"/>
              </w:rPr>
              <w:t>, there is no hot reload.</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DF3F3"/>
          </w:tcPr>
          <w:p>
            <w:pPr>
              <w:spacing w:after="40"/>
            </w:pPr>
            <w:r/>
            <w:r>
              <w:rPr>
                <w:b/>
                <w:color w:val="9C5B5B"/>
                <w:sz w:val="17"/>
              </w:rPr>
              <w:t xml:space="preserve">HONEST NOTE — DECLARED BUT UNUSED  </w:t>
            </w:r>
            <w:r>
              <w:rPr>
                <w:rFonts w:ascii="Consolas" w:hAnsi="Consolas"/>
                <w:color w:val="1F2A44"/>
                <w:sz w:val="16"/>
              </w:rPr>
              <w:t>langchain</w:t>
            </w:r>
            <w:r>
              <w:rPr>
                <w:sz w:val="18"/>
              </w:rPr>
              <w:t xml:space="preserve">, </w:t>
            </w:r>
            <w:r>
              <w:rPr>
                <w:rFonts w:ascii="Consolas" w:hAnsi="Consolas"/>
                <w:color w:val="1F2A44"/>
                <w:sz w:val="16"/>
              </w:rPr>
              <w:t>langchain-community</w:t>
            </w:r>
            <w:r>
              <w:rPr>
                <w:sz w:val="18"/>
              </w:rPr>
              <w:t xml:space="preserve"> and </w:t>
            </w:r>
            <w:r>
              <w:rPr>
                <w:rFonts w:ascii="Consolas" w:hAnsi="Consolas"/>
                <w:color w:val="1F2A44"/>
                <w:sz w:val="16"/>
              </w:rPr>
              <w:t>langchain-openai</w:t>
            </w:r>
            <w:r>
              <w:rPr>
                <w:sz w:val="18"/>
              </w:rPr>
              <w:t xml:space="preserve"> are listed in </w:t>
            </w:r>
            <w:r>
              <w:rPr>
                <w:rFonts w:ascii="Consolas" w:hAnsi="Consolas"/>
                <w:color w:val="1F2A44"/>
                <w:sz w:val="16"/>
              </w:rPr>
              <w:t>backend/pyproject.toml</w:t>
            </w:r>
            <w:r>
              <w:rPr>
                <w:sz w:val="18"/>
              </w:rPr>
              <w:t xml:space="preserve"> but are imported nowhere in the codebase. The ReAct loop is hand-written. If an examiner scans the manifest and asks "so you used LangChain?", the correct answer is no — and the reason is worth owning (Section 6).</w:t>
            </w:r>
          </w:p>
        </w:tc>
      </w:tr>
    </w:tbl>
    <w:p>
      <w:pPr>
        <w:spacing w:after="40"/>
      </w:pPr>
    </w:p>
    <w:p>
      <w:pPr>
        <w:pStyle w:val="Heading1"/>
      </w:pPr>
      <w:r>
        <w:t>4.  Two end-to-end flows</w:t>
      </w:r>
    </w:p>
    <w:p>
      <w:pPr>
        <w:pStyle w:val="Heading2"/>
      </w:pPr>
      <w:r>
        <w:t>Flow A — a goal-conditioned analysis run  (the core claim)</w:t>
      </w:r>
    </w:p>
    <w:tbl>
      <w:tblPr>
        <w:tblStyle w:val="TableGrid"/>
        <w:tblW w:type="auto" w:w="0"/>
        <w:tblLook w:firstColumn="1" w:firstRow="1" w:lastColumn="0" w:lastRow="0" w:noHBand="0" w:noVBand="1" w:val="04A0"/>
      </w:tblPr>
      <w:tblGrid>
        <w:gridCol w:w="10080"/>
      </w:tblGrid>
      <w:tr>
        <w:tc>
          <w:tcPr>
            <w:tcW w:type="dxa" w:w="10080"/>
            <w:shd w:fill="FAF8F6"/>
          </w:tcPr>
          <w:p>
            <w:pPr>
              <w:spacing w:after="0" w:line="240" w:lineRule="auto"/>
            </w:pPr>
            <w:r/>
            <w:r>
              <w:rPr>
                <w:rFonts w:ascii="Consolas" w:hAnsi="Consolas"/>
                <w:color w:val="1F2A44"/>
                <w:sz w:val="15"/>
              </w:rPr>
              <w:t xml:space="preserve"> User types "predict customer churn"  +  uploads orders.csv</w:t>
            </w:r>
          </w:p>
          <w:p>
            <w:pPr>
              <w:spacing w:after="0" w:line="240" w:lineRule="auto"/>
            </w:pPr>
            <w:r>
              <w:rPr>
                <w:rFonts w:ascii="Consolas" w:hAnsi="Consolas"/>
                <w:color w:val="1F2A44"/>
                <w:sz w:val="15"/>
              </w:rPr>
              <w:t xml:space="preserve">   └─► frontend/app/dashboard/analysis/new/page.tsx     multipart POST</w:t>
            </w:r>
          </w:p>
          <w:p>
            <w:pPr>
              <w:spacing w:after="0" w:line="240" w:lineRule="auto"/>
            </w:pPr>
            <w:r>
              <w:rPr>
                <w:rFonts w:ascii="Consolas" w:hAnsi="Consolas"/>
                <w:color w:val="1F2A44"/>
                <w:sz w:val="15"/>
              </w:rPr>
              <w:t xml:space="preserve">       └─► POST /analysis/run          backend/routers/analysis.py:185</w:t>
            </w:r>
          </w:p>
          <w:p>
            <w:pPr>
              <w:spacing w:after="0" w:line="240" w:lineRule="auto"/>
            </w:pPr>
            <w:r>
              <w:rPr>
                <w:rFonts w:ascii="Consolas" w:hAnsi="Consolas"/>
                <w:color w:val="1F2A44"/>
                <w:sz w:val="15"/>
              </w:rPr>
              <w:t xml:space="preserve">           ├─ JWT dependency  get_current_user           → 401 if absent</w:t>
            </w:r>
          </w:p>
          <w:p>
            <w:pPr>
              <w:spacing w:after="0" w:line="240" w:lineRule="auto"/>
            </w:pPr>
            <w:r>
              <w:rPr>
                <w:rFonts w:ascii="Consolas" w:hAnsi="Consolas"/>
                <w:color w:val="1F2A44"/>
                <w:sz w:val="15"/>
              </w:rPr>
              <w:t xml:space="preserve">           ├─ SlowAPI rate limit  @limiter.limit(analysis_limit)</w:t>
            </w:r>
          </w:p>
          <w:p>
            <w:pPr>
              <w:spacing w:after="0" w:line="240" w:lineRule="auto"/>
            </w:pPr>
            <w:r>
              <w:rPr>
                <w:rFonts w:ascii="Consolas" w:hAnsi="Consolas"/>
                <w:color w:val="1F2A44"/>
                <w:sz w:val="15"/>
              </w:rPr>
              <w:t xml:space="preserve">           ├─ AnalysisRequest validated  → ValidationError caught → 422, not 500</w:t>
            </w:r>
          </w:p>
          <w:p>
            <w:pPr>
              <w:spacing w:after="0" w:line="240" w:lineRule="auto"/>
            </w:pPr>
            <w:r>
              <w:rPr>
                <w:rFonts w:ascii="Consolas" w:hAnsi="Consolas"/>
                <w:color w:val="1F2A44"/>
                <w:sz w:val="15"/>
              </w:rPr>
              <w:t xml:space="preserve">           └─► OrchestratorService.run()   services/orchestrator_service.py:98</w:t>
            </w:r>
          </w:p>
          <w:p>
            <w:pPr>
              <w:spacing w:after="0" w:line="240" w:lineRule="auto"/>
            </w:pPr>
            <w:r>
              <w:rPr>
                <w:rFonts w:ascii="Consolas" w:hAnsi="Consolas"/>
                <w:color w:val="1F2A44"/>
                <w:sz w:val="15"/>
              </w:rPr>
              <w:t xml:space="preserve">               ├─ run_memory_service.retrieve_similar()  prior runs, same user</w:t>
            </w:r>
          </w:p>
          <w:p>
            <w:pPr>
              <w:spacing w:after="0" w:line="240" w:lineRule="auto"/>
            </w:pPr>
            <w:r>
              <w:rPr>
                <w:rFonts w:ascii="Consolas" w:hAnsi="Consolas"/>
                <w:color w:val="1F2A44"/>
                <w:sz w:val="15"/>
              </w:rPr>
              <w:t xml:space="preserve">               └─► OrchestratorAgent.run()     agents/orchestrator.py:177</w:t>
            </w:r>
          </w:p>
          <w:p>
            <w:pPr>
              <w:spacing w:after="0" w:line="240" w:lineRule="auto"/>
            </w:pPr>
            <w:r>
              <w:rPr>
                <w:rFonts w:ascii="Consolas" w:hAnsi="Consolas"/>
                <w:color w:val="1F2A44"/>
                <w:sz w:val="15"/>
              </w:rPr>
              <w:t xml:space="preserve">                   ├─ GoalClassifier.classify()   → TaskType.classification</w:t>
            </w:r>
          </w:p>
          <w:p>
            <w:pPr>
              <w:spacing w:after="0" w:line="240" w:lineRule="auto"/>
            </w:pPr>
            <w:r>
              <w:rPr>
                <w:rFonts w:ascii="Consolas" w:hAnsi="Consolas"/>
                <w:color w:val="1F2A44"/>
                <w:sz w:val="15"/>
              </w:rPr>
              <w:t xml:space="preserve">                   ├─ PipelinePlanner.build_plan() → directives:</w:t>
            </w:r>
          </w:p>
          <w:p>
            <w:pPr>
              <w:spacing w:after="0" w:line="240" w:lineRule="auto"/>
            </w:pPr>
            <w:r>
              <w:rPr>
                <w:rFonts w:ascii="Consolas" w:hAnsi="Consolas"/>
                <w:color w:val="1F2A44"/>
                <w:sz w:val="15"/>
              </w:rPr>
              <w:t xml:space="preserve">                   │      class_balance · feature_importance · correlation ·</w:t>
            </w:r>
          </w:p>
          <w:p>
            <w:pPr>
              <w:spacing w:after="0" w:line="240" w:lineRule="auto"/>
            </w:pPr>
            <w:r>
              <w:rPr>
                <w:rFonts w:ascii="Consolas" w:hAnsi="Consolas"/>
                <w:color w:val="1F2A44"/>
                <w:sz w:val="15"/>
              </w:rPr>
              <w:t xml:space="preserve">                   │      shap_attribution        ← NOT the full battery</w:t>
            </w:r>
          </w:p>
          <w:p>
            <w:pPr>
              <w:spacing w:after="0" w:line="240" w:lineRule="auto"/>
            </w:pPr>
            <w:r>
              <w:rPr>
                <w:rFonts w:ascii="Consolas" w:hAnsi="Consolas"/>
                <w:color w:val="1F2A44"/>
                <w:sz w:val="15"/>
              </w:rPr>
              <w:t xml:space="preserve">                   ├─ IngestionAgent   profile + dtype inference</w:t>
            </w:r>
          </w:p>
          <w:p>
            <w:pPr>
              <w:spacing w:after="0" w:line="240" w:lineRule="auto"/>
            </w:pPr>
            <w:r>
              <w:rPr>
                <w:rFonts w:ascii="Consolas" w:hAnsi="Consolas"/>
                <w:color w:val="1F2A44"/>
                <w:sz w:val="15"/>
              </w:rPr>
              <w:t xml:space="preserve">                   ├─ MiningAgent      runs only the four directives above</w:t>
            </w:r>
          </w:p>
          <w:p>
            <w:pPr>
              <w:spacing w:after="0" w:line="240" w:lineRule="auto"/>
            </w:pPr>
            <w:r>
              <w:rPr>
                <w:rFonts w:ascii="Consolas" w:hAnsi="Consolas"/>
                <w:color w:val="1F2A44"/>
                <w:sz w:val="15"/>
              </w:rPr>
              <w:t xml:space="preserve">                   ├─ _reflect_on_mining()  low R²/silhouette ⇒ insert a step</w:t>
            </w:r>
          </w:p>
          <w:p>
            <w:pPr>
              <w:spacing w:after="0" w:line="240" w:lineRule="auto"/>
            </w:pPr>
            <w:r>
              <w:rPr>
                <w:rFonts w:ascii="Consolas" w:hAnsi="Consolas"/>
                <w:color w:val="1F2A44"/>
                <w:sz w:val="15"/>
              </w:rPr>
              <w:t xml:space="preserve">                   ├─ VisualizationAgent  grouped_bar · box_by_class · attribution</w:t>
            </w:r>
          </w:p>
          <w:p>
            <w:pPr>
              <w:spacing w:after="0" w:line="240" w:lineRule="auto"/>
            </w:pPr>
            <w:r>
              <w:rPr>
                <w:rFonts w:ascii="Consolas" w:hAnsi="Consolas"/>
                <w:color w:val="1F2A44"/>
                <w:sz w:val="15"/>
              </w:rPr>
              <w:t xml:space="preserve">                   └─ RecommendationAgent  retrieve → cite → build cards</w:t>
            </w:r>
          </w:p>
          <w:p>
            <w:pPr>
              <w:spacing w:after="0" w:line="240" w:lineRule="auto"/>
            </w:pPr>
            <w:r>
              <w:rPr>
                <w:rFonts w:ascii="Consolas" w:hAnsi="Consolas"/>
                <w:color w:val="1F2A44"/>
                <w:sz w:val="15"/>
              </w:rPr>
              <w:t xml:space="preserve">               ├─ analysis_run_service.save_run()   Postgres, full JSON payload</w:t>
            </w:r>
          </w:p>
          <w:p>
            <w:pPr>
              <w:spacing w:after="0" w:line="240" w:lineRule="auto"/>
            </w:pPr>
            <w:r>
              <w:rPr>
                <w:rFonts w:ascii="Consolas" w:hAnsi="Consolas"/>
                <w:color w:val="1F2A44"/>
                <w:sz w:val="15"/>
              </w:rPr>
              <w:t xml:space="preserve">               └─ run_memory_service.record()       embedding for future runs</w:t>
            </w:r>
          </w:p>
          <w:p>
            <w:pPr>
              <w:spacing w:after="0" w:line="240" w:lineRule="auto"/>
            </w:pPr>
            <w:r>
              <w:rPr>
                <w:rFonts w:ascii="Consolas" w:hAnsi="Consolas"/>
                <w:color w:val="1F2A44"/>
                <w:sz w:val="15"/>
              </w:rPr>
              <w:t xml:space="preserve">   ◄── AnalysisResponse: summary · steps[] (the ReAct trail) · recommendations[]</w:t>
            </w:r>
          </w:p>
          <w:p>
            <w:pPr>
              <w:spacing w:after="0" w:line="240" w:lineRule="auto"/>
            </w:pPr>
            <w:r>
              <w:rPr>
                <w:rFonts w:ascii="Consolas" w:hAnsi="Consolas"/>
                <w:color w:val="1F2A44"/>
                <w:sz w:val="15"/>
              </w:rPr>
              <w:t xml:space="preserve">       · rag_sources[] · chart specs</w:t>
            </w:r>
          </w:p>
          <w:p>
            <w:pPr>
              <w:spacing w:after="0" w:line="240" w:lineRule="auto"/>
            </w:pPr>
            <w:r>
              <w:rPr>
                <w:rFonts w:ascii="Consolas" w:hAnsi="Consolas"/>
                <w:color w:val="1F2A44"/>
                <w:sz w:val="15"/>
              </w:rPr>
              <w:t xml:space="preserve">   └─► React renders charts, cards with citations, and the agent trail</w:t>
            </w:r>
          </w:p>
        </w:tc>
      </w:tr>
    </w:tbl>
    <w:p>
      <w:pPr>
        <w:spacing w:after="40"/>
      </w:pPr>
    </w:p>
    <w:p>
      <w:pPr>
        <w:spacing w:after="80"/>
      </w:pPr>
      <w:r>
        <w:rPr>
          <w:rFonts w:ascii="Calibri" w:hAnsi="Calibri"/>
          <w:b/>
          <w:i w:val="0"/>
          <w:sz w:val="19"/>
        </w:rPr>
        <w:t xml:space="preserve">The point to land: </w:t>
      </w:r>
      <w:r>
        <w:rPr>
          <w:rFonts w:ascii="Calibri" w:hAnsi="Calibri"/>
          <w:b w:val="0"/>
          <w:i w:val="0"/>
          <w:sz w:val="19"/>
        </w:rPr>
        <w:t xml:space="preserve">change the goal to "find unusual orders" and the directive list becomes </w:t>
      </w:r>
      <w:r>
        <w:rPr>
          <w:rFonts w:ascii="Consolas" w:hAnsi="Consolas"/>
          <w:b w:val="0"/>
          <w:i w:val="0"/>
          <w:color w:val="9C5B5B"/>
          <w:sz w:val="17"/>
        </w:rPr>
        <w:t>iqr_outliers · isolation_forest · distribution_tails</w:t>
      </w:r>
      <w:r>
        <w:rPr>
          <w:rFonts w:ascii="Calibri" w:hAnsi="Calibri"/>
          <w:b w:val="0"/>
          <w:i w:val="0"/>
          <w:sz w:val="19"/>
        </w:rPr>
        <w:t>. Different work runs. The report is not filtered — it is different work.</w:t>
      </w:r>
    </w:p>
    <w:p>
      <w:r>
        <w:br w:type="page"/>
      </w:r>
    </w:p>
    <w:p>
      <w:pPr>
        <w:pStyle w:val="Heading2"/>
      </w:pPr>
      <w:r>
        <w:t>Flow B — a follow-up question in chat  (grounding + persistence)</w:t>
      </w:r>
    </w:p>
    <w:tbl>
      <w:tblPr>
        <w:tblStyle w:val="TableGrid"/>
        <w:tblW w:type="auto" w:w="0"/>
        <w:tblLook w:firstColumn="1" w:firstRow="1" w:lastColumn="0" w:lastRow="0" w:noHBand="0" w:noVBand="1" w:val="04A0"/>
      </w:tblPr>
      <w:tblGrid>
        <w:gridCol w:w="10080"/>
      </w:tblGrid>
      <w:tr>
        <w:tc>
          <w:tcPr>
            <w:tcW w:type="dxa" w:w="10080"/>
            <w:shd w:fill="FAF8F6"/>
          </w:tcPr>
          <w:p>
            <w:pPr>
              <w:spacing w:after="0" w:line="240" w:lineRule="auto"/>
            </w:pPr>
            <w:r/>
            <w:r>
              <w:rPr>
                <w:rFonts w:ascii="Consolas" w:hAnsi="Consolas"/>
                <w:color w:val="1F2A44"/>
                <w:sz w:val="15"/>
              </w:rPr>
              <w:t xml:space="preserve"> User has an answer on screen and types "why?"</w:t>
            </w:r>
          </w:p>
          <w:p>
            <w:pPr>
              <w:spacing w:after="0" w:line="240" w:lineRule="auto"/>
            </w:pPr>
            <w:r>
              <w:rPr>
                <w:rFonts w:ascii="Consolas" w:hAnsi="Consolas"/>
                <w:color w:val="1F2A44"/>
                <w:sz w:val="15"/>
              </w:rPr>
              <w:t xml:space="preserve">   └─► frontend/app/dashboard/analysis/[id]/page.tsx</w:t>
            </w:r>
          </w:p>
          <w:p>
            <w:pPr>
              <w:spacing w:after="0" w:line="240" w:lineRule="auto"/>
            </w:pPr>
            <w:r>
              <w:rPr>
                <w:rFonts w:ascii="Consolas" w:hAnsi="Consolas"/>
                <w:color w:val="1F2A44"/>
                <w:sz w:val="15"/>
              </w:rPr>
              <w:t xml:space="preserve">       sends BOTH:  root_run_id  (thread identity, persisted)</w:t>
            </w:r>
          </w:p>
          <w:p>
            <w:pPr>
              <w:spacing w:after="0" w:line="240" w:lineRule="auto"/>
            </w:pPr>
            <w:r>
              <w:rPr>
                <w:rFonts w:ascii="Consolas" w:hAnsi="Consolas"/>
                <w:color w:val="1F2A44"/>
                <w:sz w:val="15"/>
              </w:rPr>
              <w:t xml:space="preserve">                    conversation (prior turns, for grounding)</w:t>
            </w:r>
          </w:p>
          <w:p>
            <w:pPr>
              <w:spacing w:after="0" w:line="240" w:lineRule="auto"/>
            </w:pPr>
            <w:r>
              <w:rPr>
                <w:rFonts w:ascii="Consolas" w:hAnsi="Consolas"/>
                <w:color w:val="1F2A44"/>
                <w:sz w:val="15"/>
              </w:rPr>
              <w:t xml:space="preserve">       └─► POST /analysis/run</w:t>
            </w:r>
          </w:p>
          <w:p>
            <w:pPr>
              <w:spacing w:after="0" w:line="240" w:lineRule="auto"/>
            </w:pPr>
            <w:r>
              <w:rPr>
                <w:rFonts w:ascii="Consolas" w:hAnsi="Consolas"/>
                <w:color w:val="1F2A44"/>
                <w:sz w:val="15"/>
              </w:rPr>
              <w:t xml:space="preserve">           ├─ _parse_conversation()   malformed JSON ⇒ 422, never 500</w:t>
            </w:r>
          </w:p>
          <w:p>
            <w:pPr>
              <w:spacing w:after="0" w:line="240" w:lineRule="auto"/>
            </w:pPr>
            <w:r>
              <w:rPr>
                <w:rFonts w:ascii="Consolas" w:hAnsi="Consolas"/>
                <w:color w:val="1F2A44"/>
                <w:sz w:val="15"/>
              </w:rPr>
              <w:t xml:space="preserve">           ├─ root_run_id resolved through the CALLER'S OWN run —</w:t>
            </w:r>
          </w:p>
          <w:p>
            <w:pPr>
              <w:spacing w:after="0" w:line="240" w:lineRule="auto"/>
            </w:pPr>
            <w:r>
              <w:rPr>
                <w:rFonts w:ascii="Consolas" w:hAnsi="Consolas"/>
                <w:color w:val="1F2A44"/>
                <w:sz w:val="15"/>
              </w:rPr>
              <w:t xml:space="preserve">           │    never trusted as sent, so a follow-up cannot be attached</w:t>
            </w:r>
          </w:p>
          <w:p>
            <w:pPr>
              <w:spacing w:after="0" w:line="240" w:lineRule="auto"/>
            </w:pPr>
            <w:r>
              <w:rPr>
                <w:rFonts w:ascii="Consolas" w:hAnsi="Consolas"/>
                <w:color w:val="1F2A44"/>
                <w:sz w:val="15"/>
              </w:rPr>
              <w:t xml:space="preserve">           │    to another user's conversation</w:t>
            </w:r>
          </w:p>
          <w:p>
            <w:pPr>
              <w:spacing w:after="0" w:line="240" w:lineRule="auto"/>
            </w:pPr>
            <w:r>
              <w:rPr>
                <w:rFonts w:ascii="Consolas" w:hAnsi="Consolas"/>
                <w:color w:val="1F2A44"/>
                <w:sz w:val="15"/>
              </w:rPr>
              <w:t xml:space="preserve">           └─► OrchestratorAgent.run()</w:t>
            </w:r>
          </w:p>
          <w:p>
            <w:pPr>
              <w:spacing w:after="0" w:line="240" w:lineRule="auto"/>
            </w:pPr>
            <w:r>
              <w:rPr>
                <w:rFonts w:ascii="Consolas" w:hAnsi="Consolas"/>
                <w:color w:val="1F2A44"/>
                <w:sz w:val="15"/>
              </w:rPr>
              <w:t xml:space="preserve">               ├─ conversation.resolve(goal, turns)</w:t>
            </w:r>
          </w:p>
          <w:p>
            <w:pPr>
              <w:spacing w:after="0" w:line="240" w:lineRule="auto"/>
            </w:pPr>
            <w:r>
              <w:rPr>
                <w:rFonts w:ascii="Consolas" w:hAnsi="Consolas"/>
                <w:color w:val="1F2A44"/>
                <w:sz w:val="15"/>
              </w:rPr>
              <w:t xml:space="preserve">               │     "why?" is elliptical (opener / anaphora / &lt; 5 words)</w:t>
            </w:r>
          </w:p>
          <w:p>
            <w:pPr>
              <w:spacing w:after="0" w:line="240" w:lineRule="auto"/>
            </w:pPr>
            <w:r>
              <w:rPr>
                <w:rFonts w:ascii="Consolas" w:hAnsi="Consolas"/>
                <w:color w:val="1F2A44"/>
                <w:sz w:val="15"/>
              </w:rPr>
              <w:t xml:space="preserve">               │     ⇒ resolved text = current question + carried context</w:t>
            </w:r>
          </w:p>
          <w:p>
            <w:pPr>
              <w:spacing w:after="0" w:line="240" w:lineRule="auto"/>
            </w:pPr>
            <w:r>
              <w:rPr>
                <w:rFonts w:ascii="Consolas" w:hAnsi="Consolas"/>
                <w:color w:val="1F2A44"/>
                <w:sz w:val="15"/>
              </w:rPr>
              <w:t xml:space="preserve">               ├─ classify(resolved.text)   ← resolved, not the bare "why?"</w:t>
            </w:r>
          </w:p>
          <w:p>
            <w:pPr>
              <w:spacing w:after="0" w:line="240" w:lineRule="auto"/>
            </w:pPr>
            <w:r>
              <w:rPr>
                <w:rFonts w:ascii="Consolas" w:hAnsi="Consolas"/>
                <w:color w:val="1F2A44"/>
                <w:sz w:val="15"/>
              </w:rPr>
              <w:t xml:space="preserve">               └─ RecommendationAgent with FOLLOWUP_BUDGET</w:t>
            </w:r>
          </w:p>
          <w:p>
            <w:pPr>
              <w:spacing w:after="0" w:line="240" w:lineRule="auto"/>
            </w:pPr>
            <w:r>
              <w:rPr>
                <w:rFonts w:ascii="Consolas" w:hAnsi="Consolas"/>
                <w:color w:val="1F2A44"/>
                <w:sz w:val="15"/>
              </w:rPr>
              <w:t xml:space="preserve">                     pattern_led 2 · goal_led 3 · broad_fill FALSE</w:t>
            </w:r>
          </w:p>
          <w:p>
            <w:pPr>
              <w:spacing w:after="0" w:line="240" w:lineRule="auto"/>
            </w:pPr>
            <w:r>
              <w:rPr>
                <w:rFonts w:ascii="Consolas" w:hAnsi="Consolas"/>
                <w:color w:val="1F2A44"/>
                <w:sz w:val="15"/>
              </w:rPr>
              <w:t xml:space="preserve">                     prior citations blocked in passes 2 and 3</w:t>
            </w:r>
          </w:p>
          <w:p>
            <w:pPr>
              <w:spacing w:after="0" w:line="240" w:lineRule="auto"/>
            </w:pPr>
            <w:r>
              <w:rPr>
                <w:rFonts w:ascii="Consolas" w:hAnsi="Consolas"/>
                <w:color w:val="1F2A44"/>
                <w:sz w:val="15"/>
              </w:rPr>
              <w:t xml:space="preserve">   ◄── a DIFFERENT answer, grounded in the follow-up</w:t>
            </w:r>
          </w:p>
          <w:p>
            <w:pPr>
              <w:spacing w:after="0" w:line="240" w:lineRule="auto"/>
            </w:pPr>
            <w:r>
              <w:rPr>
                <w:rFonts w:ascii="Consolas" w:hAnsi="Consolas"/>
                <w:color w:val="1F2A44"/>
                <w:sz w:val="15"/>
              </w:rPr>
              <w:t xml:space="preserve">   └─► persisted as a new run sharing root_run_id ⇒ survives reload,</w:t>
            </w:r>
          </w:p>
          <w:p>
            <w:pPr>
              <w:spacing w:after="0" w:line="240" w:lineRule="auto"/>
            </w:pPr>
            <w:r>
              <w:rPr>
                <w:rFonts w:ascii="Consolas" w:hAnsi="Consolas"/>
                <w:color w:val="1F2A44"/>
                <w:sz w:val="15"/>
              </w:rPr>
              <w:t xml:space="preserve">       and can be shared publicly as one thread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2EEE9"/>
          </w:tcPr>
          <w:p>
            <w:pPr>
              <w:spacing w:after="40"/>
            </w:pPr>
            <w:r/>
            <w:r>
              <w:rPr>
                <w:b/>
                <w:color w:val="9C5B5B"/>
                <w:sz w:val="17"/>
              </w:rPr>
              <w:t xml:space="preserve">WHY broad_fill IS FALSE ON A FOLLOW-UP  </w:t>
            </w:r>
            <w:r>
              <w:rPr>
                <w:sz w:val="18"/>
              </w:rPr>
              <w:t>This is the most defensible detail in the whole chat path. With broad fill on, an unanswerable question ("tell me about Drake") returned the nearest methodology document — a card about SHAP and LIME — which reads as an answer and is not one. Returning zero findings is now a valid outcome. The UI says so, and points at the Query tab instead.</w:t>
            </w:r>
          </w:p>
        </w:tc>
      </w:tr>
    </w:tbl>
    <w:p>
      <w:pPr>
        <w:spacing w:after="40"/>
      </w:pPr>
    </w:p>
    <w:p>
      <w:pPr>
        <w:pStyle w:val="Heading1"/>
      </w:pPr>
      <w:r>
        <w:t>5.  Evaluation results</w:t>
      </w:r>
    </w:p>
    <w:p>
      <w:pPr>
        <w:spacing w:after="80"/>
      </w:pPr>
      <w:r>
        <w:rPr>
          <w:rFonts w:ascii="Calibri" w:hAnsi="Calibri"/>
          <w:b w:val="0"/>
          <w:i w:val="0"/>
          <w:sz w:val="19"/>
        </w:rPr>
        <w:t xml:space="preserve">Experimental design is </w:t>
      </w:r>
      <w:r>
        <w:rPr>
          <w:rFonts w:ascii="Calibri" w:hAnsi="Calibri"/>
          <w:b/>
          <w:i w:val="0"/>
          <w:sz w:val="19"/>
        </w:rPr>
        <w:t>same-dataset / different-goal</w:t>
      </w:r>
      <w:r>
        <w:rPr>
          <w:rFonts w:ascii="Calibri" w:hAnsi="Calibri"/>
          <w:b w:val="0"/>
          <w:i w:val="0"/>
          <w:sz w:val="19"/>
        </w:rPr>
        <w:t xml:space="preserve">: each dataset is pushed through the pipeline once per goal, one goal per task type. Only the goal varies, so any difference is attributable to goal-conditioning alone. 5 datasets × 5 goals = 25 runs. The baseline (ydata-profiling) has no mechanism to receive a goal, so its computation set is identical every run </w:t>
      </w:r>
      <w:r>
        <w:rPr>
          <w:rFonts w:ascii="Calibri" w:hAnsi="Calibri"/>
          <w:b/>
          <w:i w:val="0"/>
          <w:sz w:val="19"/>
        </w:rPr>
        <w:t>by construction</w:t>
      </w:r>
      <w:r>
        <w:rPr>
          <w:rFonts w:ascii="Calibri" w:hAnsi="Calibri"/>
          <w:b w:val="0"/>
          <w:i w:val="0"/>
          <w:sz w:val="19"/>
        </w:rPr>
        <w: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88"/>
            <w:shd w:fill="1F2A44"/>
          </w:tcPr>
          <w:p>
            <w:pPr>
              <w:spacing w:after="20"/>
            </w:pPr>
            <w:r/>
            <w:r>
              <w:rPr>
                <w:b/>
                <w:color w:val="FFFFFF"/>
                <w:sz w:val="17"/>
              </w:rPr>
              <w:t>Metric</w:t>
            </w:r>
          </w:p>
        </w:tc>
        <w:tc>
          <w:tcPr>
            <w:tcW w:type="dxa" w:w="1008"/>
            <w:shd w:fill="1F2A44"/>
          </w:tcPr>
          <w:p>
            <w:pPr>
              <w:spacing w:after="20"/>
            </w:pPr>
            <w:r/>
            <w:r>
              <w:rPr>
                <w:b/>
                <w:color w:val="FFFFFF"/>
                <w:sz w:val="17"/>
              </w:rPr>
              <w:t>MAGE</w:t>
            </w:r>
          </w:p>
        </w:tc>
        <w:tc>
          <w:tcPr>
            <w:tcW w:type="dxa" w:w="1584"/>
            <w:shd w:fill="1F2A44"/>
          </w:tcPr>
          <w:p>
            <w:pPr>
              <w:spacing w:after="20"/>
            </w:pPr>
            <w:r/>
            <w:r>
              <w:rPr>
                <w:b/>
                <w:color w:val="FFFFFF"/>
                <w:sz w:val="17"/>
              </w:rPr>
              <w:t>AutoEDA baseline</w:t>
            </w:r>
          </w:p>
        </w:tc>
        <w:tc>
          <w:tcPr>
            <w:tcW w:type="dxa" w:w="5400"/>
            <w:shd w:fill="1F2A44"/>
          </w:tcPr>
          <w:p>
            <w:pPr>
              <w:spacing w:after="20"/>
            </w:pPr>
            <w:r/>
            <w:r>
              <w:rPr>
                <w:b/>
                <w:color w:val="FFFFFF"/>
                <w:sz w:val="17"/>
              </w:rPr>
              <w:t>What it means</w:t>
            </w:r>
          </w:p>
        </w:tc>
      </w:tr>
      <w:tr>
        <w:tc>
          <w:tcPr>
            <w:tcW w:type="dxa" w:w="2088"/>
          </w:tcPr>
          <w:p>
            <w:pPr>
              <w:spacing w:after="20"/>
            </w:pPr>
            <w:r/>
            <w:r>
              <w:rPr>
                <w:sz w:val="17"/>
              </w:rPr>
              <w:t>Computation divergence</w:t>
            </w:r>
          </w:p>
        </w:tc>
        <w:tc>
          <w:tcPr>
            <w:tcW w:type="dxa" w:w="1008"/>
          </w:tcPr>
          <w:p>
            <w:pPr>
              <w:spacing w:after="20"/>
            </w:pPr>
            <w:r/>
            <w:r>
              <w:rPr>
                <w:sz w:val="17"/>
              </w:rPr>
              <w:t>0.836</w:t>
            </w:r>
          </w:p>
        </w:tc>
        <w:tc>
          <w:tcPr>
            <w:tcW w:type="dxa" w:w="1584"/>
          </w:tcPr>
          <w:p>
            <w:pPr>
              <w:spacing w:after="20"/>
            </w:pPr>
            <w:r/>
            <w:r>
              <w:rPr>
                <w:sz w:val="17"/>
              </w:rPr>
              <w:t>0.000</w:t>
            </w:r>
          </w:p>
        </w:tc>
        <w:tc>
          <w:tcPr>
            <w:tcW w:type="dxa" w:w="5400"/>
          </w:tcPr>
          <w:p>
            <w:pPr>
              <w:spacing w:after="20"/>
            </w:pPr>
            <w:r/>
            <w:r>
              <w:rPr>
                <w:sz w:val="17"/>
              </w:rPr>
              <w:t>Mean pairwise Jaccard distance between computation sets across goals. 0.000 = the goal changed nothing.</w:t>
            </w:r>
          </w:p>
        </w:tc>
      </w:tr>
      <w:tr>
        <w:tc>
          <w:tcPr>
            <w:tcW w:type="dxa" w:w="2088"/>
          </w:tcPr>
          <w:p>
            <w:pPr>
              <w:spacing w:after="20"/>
            </w:pPr>
            <w:r/>
            <w:r>
              <w:rPr>
                <w:sz w:val="17"/>
              </w:rPr>
              <w:t>Chart divergence</w:t>
            </w:r>
          </w:p>
        </w:tc>
        <w:tc>
          <w:tcPr>
            <w:tcW w:type="dxa" w:w="1008"/>
          </w:tcPr>
          <w:p>
            <w:pPr>
              <w:spacing w:after="20"/>
            </w:pPr>
            <w:r/>
            <w:r>
              <w:rPr>
                <w:sz w:val="17"/>
              </w:rPr>
              <w:t>0.920</w:t>
            </w:r>
          </w:p>
        </w:tc>
        <w:tc>
          <w:tcPr>
            <w:tcW w:type="dxa" w:w="1584"/>
          </w:tcPr>
          <w:p>
            <w:pPr>
              <w:spacing w:after="20"/>
            </w:pPr>
            <w:r/>
            <w:r>
              <w:rPr>
                <w:sz w:val="17"/>
              </w:rPr>
              <w:t>0.000</w:t>
            </w:r>
          </w:p>
        </w:tc>
        <w:tc>
          <w:tcPr>
            <w:tcW w:type="dxa" w:w="5400"/>
          </w:tcPr>
          <w:p>
            <w:pPr>
              <w:spacing w:after="20"/>
            </w:pPr>
            <w:r/>
            <w:r>
              <w:rPr>
                <w:sz w:val="17"/>
              </w:rPr>
              <w:t>Same measure over produced charts.</w:t>
            </w:r>
          </w:p>
        </w:tc>
      </w:tr>
      <w:tr>
        <w:tc>
          <w:tcPr>
            <w:tcW w:type="dxa" w:w="2088"/>
          </w:tcPr>
          <w:p>
            <w:pPr>
              <w:spacing w:after="20"/>
            </w:pPr>
            <w:r/>
            <w:r>
              <w:rPr>
                <w:sz w:val="17"/>
              </w:rPr>
              <w:t>Precision</w:t>
            </w:r>
          </w:p>
        </w:tc>
        <w:tc>
          <w:tcPr>
            <w:tcW w:type="dxa" w:w="1008"/>
          </w:tcPr>
          <w:p>
            <w:pPr>
              <w:spacing w:after="20"/>
            </w:pPr>
            <w:r/>
            <w:r>
              <w:rPr>
                <w:sz w:val="17"/>
              </w:rPr>
              <w:t>0.883</w:t>
            </w:r>
          </w:p>
        </w:tc>
        <w:tc>
          <w:tcPr>
            <w:tcW w:type="dxa" w:w="1584"/>
          </w:tcPr>
          <w:p>
            <w:pPr>
              <w:spacing w:after="20"/>
            </w:pPr>
            <w:r/>
            <w:r>
              <w:rPr>
                <w:sz w:val="17"/>
              </w:rPr>
              <w:t>0.400</w:t>
            </w:r>
          </w:p>
        </w:tc>
        <w:tc>
          <w:tcPr>
            <w:tcW w:type="dxa" w:w="5400"/>
          </w:tcPr>
          <w:p>
            <w:pPr>
              <w:spacing w:after="20"/>
            </w:pPr>
            <w:r/>
            <w:r>
              <w:rPr>
                <w:sz w:val="17"/>
              </w:rPr>
              <w:t>Of what ran, how much was task-relevant.</w:t>
            </w:r>
          </w:p>
        </w:tc>
      </w:tr>
      <w:tr>
        <w:tc>
          <w:tcPr>
            <w:tcW w:type="dxa" w:w="2088"/>
          </w:tcPr>
          <w:p>
            <w:pPr>
              <w:spacing w:after="20"/>
            </w:pPr>
            <w:r/>
            <w:r>
              <w:rPr>
                <w:sz w:val="17"/>
              </w:rPr>
              <w:t>Recall</w:t>
            </w:r>
          </w:p>
        </w:tc>
        <w:tc>
          <w:tcPr>
            <w:tcW w:type="dxa" w:w="1008"/>
          </w:tcPr>
          <w:p>
            <w:pPr>
              <w:spacing w:after="20"/>
            </w:pPr>
            <w:r/>
            <w:r>
              <w:rPr>
                <w:sz w:val="17"/>
              </w:rPr>
              <w:t>0.634</w:t>
            </w:r>
          </w:p>
        </w:tc>
        <w:tc>
          <w:tcPr>
            <w:tcW w:type="dxa" w:w="1584"/>
          </w:tcPr>
          <w:p>
            <w:pPr>
              <w:spacing w:after="20"/>
            </w:pPr>
            <w:r/>
            <w:r>
              <w:rPr>
                <w:sz w:val="17"/>
              </w:rPr>
              <w:t>0.539</w:t>
            </w:r>
          </w:p>
        </w:tc>
        <w:tc>
          <w:tcPr>
            <w:tcW w:type="dxa" w:w="5400"/>
          </w:tcPr>
          <w:p>
            <w:pPr>
              <w:spacing w:after="20"/>
            </w:pPr>
            <w:r/>
            <w:r>
              <w:rPr>
                <w:sz w:val="17"/>
              </w:rPr>
              <w:t>Of what was relevant, how much ran.</w:t>
            </w:r>
          </w:p>
        </w:tc>
      </w:tr>
      <w:tr>
        <w:tc>
          <w:tcPr>
            <w:tcW w:type="dxa" w:w="2088"/>
          </w:tcPr>
          <w:p>
            <w:pPr>
              <w:spacing w:after="20"/>
            </w:pPr>
            <w:r/>
            <w:r>
              <w:rPr>
                <w:sz w:val="17"/>
              </w:rPr>
              <w:t>F1</w:t>
            </w:r>
          </w:p>
        </w:tc>
        <w:tc>
          <w:tcPr>
            <w:tcW w:type="dxa" w:w="1008"/>
          </w:tcPr>
          <w:p>
            <w:pPr>
              <w:spacing w:after="20"/>
            </w:pPr>
            <w:r/>
            <w:r>
              <w:rPr>
                <w:sz w:val="17"/>
              </w:rPr>
              <w:t>0.732</w:t>
            </w:r>
          </w:p>
        </w:tc>
        <w:tc>
          <w:tcPr>
            <w:tcW w:type="dxa" w:w="1584"/>
          </w:tcPr>
          <w:p>
            <w:pPr>
              <w:spacing w:after="20"/>
            </w:pPr>
            <w:r/>
            <w:r>
              <w:rPr>
                <w:sz w:val="17"/>
              </w:rPr>
              <w:t>0.458</w:t>
            </w:r>
          </w:p>
        </w:tc>
        <w:tc>
          <w:tcPr>
            <w:tcW w:type="dxa" w:w="5400"/>
          </w:tcPr>
          <w:p>
            <w:pPr>
              <w:spacing w:after="20"/>
            </w:pPr>
            <w:r/>
            <w:r>
              <w:rPr>
                <w:sz w:val="17"/>
              </w:rPr>
              <w:t>The headline quality figure.</w:t>
            </w:r>
          </w:p>
        </w:tc>
      </w:tr>
      <w:tr>
        <w:tc>
          <w:tcPr>
            <w:tcW w:type="dxa" w:w="2088"/>
          </w:tcPr>
          <w:p>
            <w:pPr>
              <w:spacing w:after="20"/>
            </w:pPr>
            <w:r/>
            <w:r>
              <w:rPr>
                <w:sz w:val="17"/>
              </w:rPr>
              <w:t>Citation coverage</w:t>
            </w:r>
          </w:p>
        </w:tc>
        <w:tc>
          <w:tcPr>
            <w:tcW w:type="dxa" w:w="1008"/>
          </w:tcPr>
          <w:p>
            <w:pPr>
              <w:spacing w:after="20"/>
            </w:pPr>
            <w:r/>
            <w:r>
              <w:rPr>
                <w:sz w:val="17"/>
              </w:rPr>
              <w:t>1.000</w:t>
            </w:r>
          </w:p>
        </w:tc>
        <w:tc>
          <w:tcPr>
            <w:tcW w:type="dxa" w:w="1584"/>
          </w:tcPr>
          <w:p>
            <w:pPr>
              <w:spacing w:after="20"/>
            </w:pPr>
            <w:r/>
            <w:r>
              <w:rPr>
                <w:sz w:val="17"/>
              </w:rPr>
              <w:t>—</w:t>
            </w:r>
          </w:p>
        </w:tc>
        <w:tc>
          <w:tcPr>
            <w:tcW w:type="dxa" w:w="5400"/>
          </w:tcPr>
          <w:p>
            <w:pPr>
              <w:spacing w:after="20"/>
            </w:pPr>
            <w:r/>
            <w:r>
              <w:rPr>
                <w:sz w:val="17"/>
              </w:rPr>
              <w:t>FR-03: every recommendation cites a source.</w:t>
            </w:r>
          </w:p>
        </w:tc>
      </w:tr>
      <w:tr>
        <w:tc>
          <w:tcPr>
            <w:tcW w:type="dxa" w:w="2088"/>
          </w:tcPr>
          <w:p>
            <w:pPr>
              <w:spacing w:after="20"/>
            </w:pPr>
            <w:r/>
            <w:r>
              <w:rPr>
                <w:sz w:val="17"/>
              </w:rPr>
              <w:t>Goal classification accuracy</w:t>
            </w:r>
          </w:p>
        </w:tc>
        <w:tc>
          <w:tcPr>
            <w:tcW w:type="dxa" w:w="1008"/>
          </w:tcPr>
          <w:p>
            <w:pPr>
              <w:spacing w:after="20"/>
            </w:pPr>
            <w:r/>
            <w:r>
              <w:rPr>
                <w:sz w:val="17"/>
              </w:rPr>
              <w:t>1.000</w:t>
            </w:r>
          </w:p>
        </w:tc>
        <w:tc>
          <w:tcPr>
            <w:tcW w:type="dxa" w:w="1584"/>
          </w:tcPr>
          <w:p>
            <w:pPr>
              <w:spacing w:after="20"/>
            </w:pPr>
            <w:r/>
            <w:r>
              <w:rPr>
                <w:sz w:val="17"/>
              </w:rPr>
              <w:t>—</w:t>
            </w:r>
          </w:p>
        </w:tc>
        <w:tc>
          <w:tcPr>
            <w:tcW w:type="dxa" w:w="5400"/>
          </w:tcPr>
          <w:p>
            <w:pPr>
              <w:spacing w:after="20"/>
            </w:pPr>
            <w:r/>
            <w:r>
              <w:rPr>
                <w:sz w:val="17"/>
              </w:rPr>
              <w:t>Intended vs. classified task type.</w:t>
            </w:r>
          </w:p>
        </w:tc>
      </w:tr>
      <w:tr>
        <w:tc>
          <w:tcPr>
            <w:tcW w:type="dxa" w:w="2088"/>
          </w:tcPr>
          <w:p>
            <w:pPr>
              <w:spacing w:after="20"/>
            </w:pPr>
            <w:r/>
            <w:r>
              <w:rPr>
                <w:sz w:val="17"/>
              </w:rPr>
              <w:t>Mean runtime</w:t>
            </w:r>
          </w:p>
        </w:tc>
        <w:tc>
          <w:tcPr>
            <w:tcW w:type="dxa" w:w="1008"/>
          </w:tcPr>
          <w:p>
            <w:pPr>
              <w:spacing w:after="20"/>
            </w:pPr>
            <w:r/>
            <w:r>
              <w:rPr>
                <w:sz w:val="17"/>
              </w:rPr>
              <w:t>0.48 s</w:t>
            </w:r>
          </w:p>
        </w:tc>
        <w:tc>
          <w:tcPr>
            <w:tcW w:type="dxa" w:w="1584"/>
          </w:tcPr>
          <w:p>
            <w:pPr>
              <w:spacing w:after="20"/>
            </w:pPr>
            <w:r/>
            <w:r>
              <w:rPr>
                <w:sz w:val="17"/>
              </w:rPr>
              <w:t>—</w:t>
            </w:r>
          </w:p>
        </w:tc>
        <w:tc>
          <w:tcPr>
            <w:tcW w:type="dxa" w:w="5400"/>
          </w:tcPr>
          <w:p>
            <w:pPr>
              <w:spacing w:after="20"/>
            </w:pPr>
            <w:r/>
            <w:r>
              <w:rPr>
                <w:sz w:val="17"/>
              </w:rPr>
              <w:t>FR-05 pass; worst observed 2.04 s.</w:t>
            </w:r>
          </w:p>
        </w:tc>
      </w:tr>
    </w:tbl>
    <w:p>
      <w:pPr>
        <w:spacing w:after="80"/>
      </w:pPr>
    </w:p>
    <w:tbl>
      <w:tblPr>
        <w:tblStyle w:val="TableGrid"/>
        <w:tblW w:type="auto" w:w="0"/>
        <w:tblLook w:firstColumn="1" w:firstRow="1" w:lastColumn="0" w:lastRow="0" w:noHBand="0" w:noVBand="1" w:val="04A0"/>
      </w:tblPr>
      <w:tblGrid>
        <w:gridCol w:w="10080"/>
      </w:tblGrid>
      <w:tr>
        <w:tc>
          <w:tcPr>
            <w:tcW w:type="dxa" w:w="10080"/>
            <w:shd w:fill="F2EEE9"/>
          </w:tcPr>
          <w:p>
            <w:pPr>
              <w:spacing w:after="40"/>
            </w:pPr>
            <w:r/>
            <w:r>
              <w:rPr>
                <w:b/>
                <w:color w:val="9C5B5B"/>
                <w:sz w:val="17"/>
              </w:rPr>
              <w:t xml:space="preserve">SAY THIS BEFORE THEY ASK IT  </w:t>
            </w:r>
            <w:r>
              <w:rPr>
                <w:sz w:val="18"/>
              </w:rPr>
              <w:t>The baseline reaches comparable recall — but only by brute force. It runs its entire fixed set every time, so it incidentally covers the relevant computations while also running many irrelevant ones. That is exactly what its precision of 0.400 records. Volunteering this is much stronger than being asked.</w:t>
            </w:r>
          </w:p>
        </w:tc>
      </w:tr>
    </w:tbl>
    <w:p>
      <w:pPr>
        <w:spacing w:after="40"/>
      </w:pPr>
    </w:p>
    <w:p>
      <w:pPr>
        <w:spacing w:after="80"/>
      </w:pPr>
      <w:r>
        <w:rPr>
          <w:rFonts w:ascii="Calibri" w:hAnsi="Calibri"/>
          <w:b w:val="0"/>
          <w:i w:val="0"/>
          <w:sz w:val="19"/>
        </w:rPr>
        <w:t xml:space="preserve">Relevance labels live in </w:t>
      </w:r>
      <w:r>
        <w:rPr>
          <w:rFonts w:ascii="Consolas" w:hAnsi="Consolas"/>
          <w:b w:val="0"/>
          <w:i w:val="0"/>
          <w:color w:val="9C5B5B"/>
          <w:sz w:val="17"/>
        </w:rPr>
        <w:t>evaluation/metrics.py</w:t>
      </w:r>
      <w:r>
        <w:rPr>
          <w:rFonts w:ascii="Calibri" w:hAnsi="Calibri"/>
          <w:b w:val="0"/>
          <w:i w:val="0"/>
          <w:sz w:val="19"/>
        </w:rPr>
        <w:t xml:space="preserve"> and were defined </w:t>
      </w:r>
      <w:r>
        <w:rPr>
          <w:rFonts w:ascii="Calibri" w:hAnsi="Calibri"/>
          <w:b/>
          <w:i w:val="0"/>
          <w:sz w:val="19"/>
        </w:rPr>
        <w:t>independently of the planner</w:t>
      </w:r>
      <w:r>
        <w:rPr>
          <w:rFonts w:ascii="Calibri" w:hAnsi="Calibri"/>
          <w:b w:val="0"/>
          <w:i w:val="0"/>
          <w:sz w:val="19"/>
        </w:rPr>
        <w:t>, so the metric is not circular. State that explicitly — it is the first thing a careful examiner will probe.</w:t>
      </w:r>
    </w:p>
    <w:p>
      <w:r>
        <w:br w:type="page"/>
      </w:r>
    </w:p>
    <w:p>
      <w:pPr>
        <w:pStyle w:val="Heading1"/>
      </w:pPr>
      <w:r>
        <w:t>6.  Technical decisions and trade-offs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2A44"/>
          </w:tcPr>
          <w:p>
            <w:pPr>
              <w:spacing w:after="20"/>
            </w:pPr>
            <w:r/>
            <w:r>
              <w:rPr>
                <w:b/>
                <w:color w:val="FFFFFF"/>
                <w:sz w:val="17"/>
              </w:rPr>
              <w:t>Decision</w:t>
            </w:r>
          </w:p>
        </w:tc>
        <w:tc>
          <w:tcPr>
            <w:tcW w:type="dxa" w:w="4752"/>
            <w:shd w:fill="1F2A44"/>
          </w:tcPr>
          <w:p>
            <w:pPr>
              <w:spacing w:after="20"/>
            </w:pPr>
            <w:r/>
            <w:r>
              <w:rPr>
                <w:b/>
                <w:color w:val="FFFFFF"/>
                <w:sz w:val="17"/>
              </w:rPr>
              <w:t>Rationale</w:t>
            </w:r>
          </w:p>
        </w:tc>
        <w:tc>
          <w:tcPr>
            <w:tcW w:type="dxa" w:w="3168"/>
            <w:shd w:fill="1F2A44"/>
          </w:tcPr>
          <w:p>
            <w:pPr>
              <w:spacing w:after="20"/>
            </w:pPr>
            <w:r/>
            <w:r>
              <w:rPr>
                <w:b/>
                <w:color w:val="FFFFFF"/>
                <w:sz w:val="17"/>
              </w:rPr>
              <w:t>What it cost</w:t>
            </w:r>
          </w:p>
        </w:tc>
      </w:tr>
      <w:tr>
        <w:tc>
          <w:tcPr>
            <w:tcW w:type="dxa" w:w="2160"/>
          </w:tcPr>
          <w:p>
            <w:pPr>
              <w:spacing w:after="20"/>
            </w:pPr>
            <w:r/>
            <w:r>
              <w:rPr>
                <w:sz w:val="17"/>
              </w:rPr>
              <w:t>In-process agents, not microservices</w:t>
            </w:r>
          </w:p>
        </w:tc>
        <w:tc>
          <w:tcPr>
            <w:tcW w:type="dxa" w:w="4752"/>
          </w:tcPr>
          <w:p>
            <w:pPr>
              <w:spacing w:after="20"/>
            </w:pPr>
            <w:r/>
            <w:r>
              <w:rPr>
                <w:sz w:val="17"/>
              </w:rPr>
              <w:t>The research question is whether goal-conditioning changes analytical output. Network boundaries between agents would add deployment complexity and latency while answering nothing.</w:t>
            </w:r>
          </w:p>
        </w:tc>
        <w:tc>
          <w:tcPr>
            <w:tcW w:type="dxa" w:w="3168"/>
          </w:tcPr>
          <w:p>
            <w:pPr>
              <w:spacing w:after="20"/>
            </w:pPr>
            <w:r/>
            <w:r>
              <w:rPr>
                <w:sz w:val="17"/>
              </w:rPr>
              <w:t>Cannot scale agents independently. Honest framing: "multi-agent" describes the coordination model, not the deployment topology.</w:t>
            </w:r>
          </w:p>
        </w:tc>
      </w:tr>
      <w:tr>
        <w:tc>
          <w:tcPr>
            <w:tcW w:type="dxa" w:w="2160"/>
          </w:tcPr>
          <w:p>
            <w:pPr>
              <w:spacing w:after="20"/>
            </w:pPr>
            <w:r/>
            <w:r>
              <w:rPr>
                <w:sz w:val="17"/>
              </w:rPr>
              <w:t>Hand-written ReAct loop instead of LangChain</w:t>
            </w:r>
          </w:p>
        </w:tc>
        <w:tc>
          <w:tcPr>
            <w:tcW w:type="dxa" w:w="4752"/>
          </w:tcPr>
          <w:p>
            <w:pPr>
              <w:spacing w:after="20"/>
            </w:pPr>
            <w:r/>
            <w:r>
              <w:rPr>
                <w:sz w:val="17"/>
              </w:rPr>
              <w:t xml:space="preserve">The loop needs mid-run reflection that inspects concrete statistics — silhouette &lt; </w:t>
            </w:r>
            <w:r>
              <w:rPr>
                <w:rFonts w:ascii="Consolas" w:hAnsi="Consolas"/>
                <w:color w:val="9C5B5B"/>
                <w:sz w:val="15"/>
              </w:rPr>
              <w:t>0.35</w:t>
            </w:r>
            <w:r>
              <w:rPr>
                <w:sz w:val="17"/>
              </w:rPr>
              <w:t xml:space="preserve"> switches clustering strategy. Expressing that through a framework abstraction was more work than writing the loop.</w:t>
            </w:r>
          </w:p>
        </w:tc>
        <w:tc>
          <w:tcPr>
            <w:tcW w:type="dxa" w:w="3168"/>
          </w:tcPr>
          <w:p>
            <w:pPr>
              <w:spacing w:after="20"/>
            </w:pPr>
            <w:r/>
            <w:r>
              <w:rPr>
                <w:sz w:val="17"/>
              </w:rPr>
              <w:t>Three LangChain packages remain in the manifest unused. Should be removed.</w:t>
            </w:r>
          </w:p>
        </w:tc>
      </w:tr>
      <w:tr>
        <w:tc>
          <w:tcPr>
            <w:tcW w:type="dxa" w:w="2160"/>
          </w:tcPr>
          <w:p>
            <w:pPr>
              <w:spacing w:after="20"/>
            </w:pPr>
            <w:r/>
            <w:r>
              <w:rPr>
                <w:sz w:val="17"/>
              </w:rPr>
              <w:t>Local embeddings (all-MiniLM-L6-v2)</w:t>
            </w:r>
          </w:p>
        </w:tc>
        <w:tc>
          <w:tcPr>
            <w:tcW w:type="dxa" w:w="4752"/>
          </w:tcPr>
          <w:p>
            <w:pPr>
              <w:spacing w:after="20"/>
            </w:pPr>
            <w:r/>
            <w:r>
              <w:rPr>
                <w:sz w:val="17"/>
              </w:rPr>
              <w:t>The grounded path must work with no API key. The thesis depends on RAG, so RAG cannot depend on a paid service being reachable.</w:t>
            </w:r>
          </w:p>
        </w:tc>
        <w:tc>
          <w:tcPr>
            <w:tcW w:type="dxa" w:w="3168"/>
          </w:tcPr>
          <w:p>
            <w:pPr>
              <w:spacing w:after="20"/>
            </w:pPr>
            <w:r/>
            <w:r>
              <w:rPr>
                <w:sz w:val="17"/>
              </w:rPr>
              <w:t>384-d embeddings are weaker than hosted alternatives. Two retrieval floors had to be calibrated by measurement to compensate.</w:t>
            </w:r>
          </w:p>
        </w:tc>
      </w:tr>
      <w:tr>
        <w:tc>
          <w:tcPr>
            <w:tcW w:type="dxa" w:w="2160"/>
          </w:tcPr>
          <w:p>
            <w:pPr>
              <w:spacing w:after="20"/>
            </w:pPr>
            <w:r/>
            <w:r>
              <w:rPr>
                <w:sz w:val="17"/>
              </w:rPr>
              <w:t>Retrieval floors measured, not guessed</w:t>
            </w:r>
          </w:p>
        </w:tc>
        <w:tc>
          <w:tcPr>
            <w:tcW w:type="dxa" w:w="4752"/>
          </w:tcPr>
          <w:p>
            <w:pPr>
              <w:spacing w:after="20"/>
            </w:pPr>
            <w:r/>
            <w:r>
              <w:rPr>
                <w:sz w:val="17"/>
              </w:rPr>
              <w:t xml:space="preserve">Methodology questions score 0.34–0.66 against the corpus; questions about data contents score 0.09–0.25. </w:t>
            </w:r>
            <w:r>
              <w:rPr>
                <w:rFonts w:ascii="Consolas" w:hAnsi="Consolas"/>
                <w:color w:val="9C5B5B"/>
                <w:sz w:val="15"/>
              </w:rPr>
              <w:t>GOAL_LED_MIN_CONFIDENCE = 0.30</w:t>
            </w:r>
            <w:r>
              <w:rPr>
                <w:sz w:val="17"/>
              </w:rPr>
              <w:t xml:space="preserve"> sits in the empty gap between those distributions.</w:t>
            </w:r>
          </w:p>
        </w:tc>
        <w:tc>
          <w:tcPr>
            <w:tcW w:type="dxa" w:w="3168"/>
          </w:tcPr>
          <w:p>
            <w:pPr>
              <w:spacing w:after="20"/>
            </w:pPr>
            <w:r/>
            <w:r>
              <w:rPr>
                <w:sz w:val="17"/>
              </w:rPr>
              <w:t>The constants are dataset-corpus specific. Each records its measurement in a comment; changing one requires re-measuring.</w:t>
            </w:r>
          </w:p>
        </w:tc>
      </w:tr>
      <w:tr>
        <w:tc>
          <w:tcPr>
            <w:tcW w:type="dxa" w:w="2160"/>
          </w:tcPr>
          <w:p>
            <w:pPr>
              <w:spacing w:after="20"/>
            </w:pPr>
            <w:r/>
            <w:r>
              <w:rPr>
                <w:sz w:val="17"/>
              </w:rPr>
              <w:t>A named column beats cosine similarity</w:t>
            </w:r>
          </w:p>
        </w:tc>
        <w:tc>
          <w:tcPr>
            <w:tcW w:type="dxa" w:w="4752"/>
          </w:tcPr>
          <w:p>
            <w:pPr>
              <w:spacing w:after="20"/>
            </w:pPr>
            <w:r/>
            <w:r>
              <w:rPr>
                <w:sz w:val="17"/>
              </w:rPr>
              <w:t>Embeddings cannot separate "Total Streams (in millions)" from "Collaborative Streams (in millions)", so questions naming one led with the other. Column-name matching is applied on top of the score.</w:t>
            </w:r>
          </w:p>
        </w:tc>
        <w:tc>
          <w:tcPr>
            <w:tcW w:type="dxa" w:w="3168"/>
          </w:tcPr>
          <w:p>
            <w:pPr>
              <w:spacing w:after="20"/>
            </w:pPr>
            <w:r/>
            <w:r>
              <w:rPr>
                <w:sz w:val="17"/>
              </w:rPr>
              <w:t>A heuristic layered over a learned ranking. Justified by the failure it fixes, not by elegance.</w:t>
            </w:r>
          </w:p>
        </w:tc>
      </w:tr>
      <w:tr>
        <w:tc>
          <w:tcPr>
            <w:tcW w:type="dxa" w:w="2160"/>
          </w:tcPr>
          <w:p>
            <w:pPr>
              <w:spacing w:after="20"/>
            </w:pPr>
            <w:r/>
            <w:r>
              <w:rPr>
                <w:sz w:val="17"/>
              </w:rPr>
              <w:t>Returning zero findings is valid</w:t>
            </w:r>
          </w:p>
        </w:tc>
        <w:tc>
          <w:tcPr>
            <w:tcW w:type="dxa" w:w="4752"/>
          </w:tcPr>
          <w:p>
            <w:pPr>
              <w:spacing w:after="20"/>
            </w:pPr>
            <w:r/>
            <w:r>
              <w:rPr>
                <w:sz w:val="17"/>
              </w:rPr>
              <w:t>A fallback that always produced something produced a false causal claim — a clusters statistic paired with missing-values guidance.</w:t>
            </w:r>
          </w:p>
        </w:tc>
        <w:tc>
          <w:tcPr>
            <w:tcW w:type="dxa" w:w="3168"/>
          </w:tcPr>
          <w:p>
            <w:pPr>
              <w:spacing w:after="20"/>
            </w:pPr>
            <w:r/>
            <w:r>
              <w:rPr>
                <w:sz w:val="17"/>
              </w:rPr>
              <w:t>The UI must explain emptiness well, or it reads as a bug.</w:t>
            </w:r>
          </w:p>
        </w:tc>
      </w:tr>
    </w:tbl>
    <w:p>
      <w:pPr>
        <w:pStyle w:val="Heading1"/>
      </w:pPr>
      <w:r>
        <w:t>7.  Limitations and technical debt</w:t>
      </w:r>
    </w:p>
    <w:p>
      <w:pPr>
        <w:pStyle w:val="Heading3"/>
      </w:pPr>
      <w:r>
        <w:t>The RAG-vs-LLM confound — raise this yourself</w:t>
      </w:r>
    </w:p>
    <w:p>
      <w:pPr>
        <w:spacing w:after="80"/>
      </w:pPr>
      <w:r>
        <w:rPr>
          <w:rFonts w:ascii="Calibri" w:hAnsi="Calibri"/>
          <w:b w:val="0"/>
          <w:i w:val="0"/>
          <w:sz w:val="19"/>
        </w:rPr>
        <w:t xml:space="preserve">The thesis compares a grounded path against an LLM path. But the grounded path also has </w:t>
      </w:r>
      <w:r>
        <w:rPr>
          <w:rFonts w:ascii="Calibri" w:hAnsi="Calibri"/>
          <w:b/>
          <w:i w:val="0"/>
          <w:sz w:val="19"/>
        </w:rPr>
        <w:t>deterministic handlers the LLM path does not</w:t>
      </w:r>
      <w:r>
        <w:rPr>
          <w:rFonts w:ascii="Calibri" w:hAnsi="Calibri"/>
          <w:b w:val="0"/>
          <w:i w:val="0"/>
          <w:sz w:val="19"/>
        </w:rPr>
        <w:t xml:space="preserve"> — </w:t>
      </w:r>
      <w:r>
        <w:rPr>
          <w:rFonts w:ascii="Consolas" w:hAnsi="Consolas"/>
          <w:b w:val="0"/>
          <w:i w:val="0"/>
          <w:color w:val="9C5B5B"/>
          <w:sz w:val="17"/>
        </w:rPr>
        <w:t>QAAgent</w:t>
      </w:r>
      <w:r>
        <w:rPr>
          <w:rFonts w:ascii="Calibri" w:hAnsi="Calibri"/>
          <w:b w:val="0"/>
          <w:i w:val="0"/>
          <w:sz w:val="19"/>
        </w:rPr>
        <w:t xml:space="preserve"> computes statistics directly, and a row-lookup handler answers questions about individual records. So a side-by-side comparison is not purely "RAG vs LLM"; it is "RAG plus computed handlers vs LLM alone". </w:t>
      </w:r>
      <w:r>
        <w:rPr>
          <w:rFonts w:ascii="Calibri" w:hAnsi="Calibri"/>
          <w:b/>
          <w:i w:val="0"/>
          <w:sz w:val="19"/>
        </w:rPr>
        <w:t>The honest framing is that MAGE is a grounded system of which retrieval is one part.</w:t>
      </w:r>
    </w:p>
    <w:p>
      <w:pPr>
        <w:spacing w:after="80"/>
      </w:pPr>
      <w:r>
        <w:rPr>
          <w:rFonts w:ascii="Calibri" w:hAnsi="Calibri"/>
          <w:b w:val="0"/>
          <w:i w:val="0"/>
          <w:sz w:val="19"/>
        </w:rPr>
        <w:t xml:space="preserve">One measured caveat, stated because it is true: in a live probe, asked about a specific record, Gemini </w:t>
      </w:r>
      <w:r>
        <w:rPr>
          <w:rFonts w:ascii="Calibri" w:hAnsi="Calibri"/>
          <w:b/>
          <w:i w:val="0"/>
          <w:sz w:val="19"/>
        </w:rPr>
        <w:t>declined honestly</w:t>
      </w:r>
      <w:r>
        <w:rPr>
          <w:rFonts w:ascii="Calibri" w:hAnsi="Calibri"/>
          <w:b w:val="0"/>
          <w:i w:val="0"/>
          <w:sz w:val="19"/>
        </w:rPr>
        <w:t xml:space="preserve"> rather than hallucinating. Do not claim it fabricated an answer — it did not.</w:t>
      </w:r>
    </w:p>
    <w:p>
      <w:pPr>
        <w:pStyle w:val="Heading3"/>
      </w:pPr>
      <w:r>
        <w:t>Other known gaps</w:t>
      </w:r>
    </w:p>
    <w:p>
      <w:pPr>
        <w:pStyle w:val="ListBullet"/>
        <w:spacing w:after="40"/>
        <w:ind w:left="317"/>
      </w:pPr>
      <w:r>
        <w:rPr>
          <w:rFonts w:ascii="Calibri" w:hAnsi="Calibri"/>
          <w:b/>
          <w:i w:val="0"/>
          <w:sz w:val="19"/>
        </w:rPr>
        <w:t>Every chat turn re-runs the whole pipeline</w:t>
      </w:r>
      <w:r>
        <w:rPr>
          <w:rFonts w:ascii="Calibri" w:hAnsi="Calibri"/>
          <w:b w:val="0"/>
          <w:i w:val="0"/>
          <w:sz w:val="19"/>
        </w:rPr>
        <w:t xml:space="preserve"> — and writes both an `analysis_runs` row and a `run_memory` row, so chat pollutes history and the memory corpus. Fix is to reuse persisted ingestion/mining steps.</w:t>
      </w:r>
    </w:p>
    <w:p>
      <w:pPr>
        <w:pStyle w:val="ListBullet"/>
        <w:spacing w:after="40"/>
        <w:ind w:left="317"/>
      </w:pPr>
      <w:r>
        <w:rPr>
          <w:rFonts w:ascii="Calibri" w:hAnsi="Calibri"/>
          <w:b/>
          <w:i w:val="0"/>
          <w:sz w:val="19"/>
        </w:rPr>
        <w:t>No frontend test framework</w:t>
      </w:r>
      <w:r>
        <w:rPr>
          <w:rFonts w:ascii="Calibri" w:hAnsi="Calibri"/>
          <w:b w:val="0"/>
          <w:i w:val="0"/>
          <w:sz w:val="19"/>
        </w:rPr>
        <w:t xml:space="preserve"> — no jest, vitest or Playwright. The README's "Frontend tests" section runs `tsc`, `eslint` and `build`. Frontend correctness is verified by typecheck and by hand.</w:t>
      </w:r>
    </w:p>
    <w:p>
      <w:pPr>
        <w:pStyle w:val="ListBullet"/>
        <w:spacing w:after="40"/>
        <w:ind w:left="317"/>
      </w:pPr>
      <w:r>
        <w:rPr>
          <w:rFonts w:ascii="Calibri" w:hAnsi="Calibri"/>
          <w:b/>
          <w:i w:val="0"/>
          <w:sz w:val="19"/>
        </w:rPr>
        <w:t>No CI</w:t>
      </w:r>
      <w:r>
        <w:rPr>
          <w:rFonts w:ascii="Calibri" w:hAnsi="Calibri"/>
          <w:b w:val="0"/>
          <w:i w:val="0"/>
          <w:sz w:val="19"/>
        </w:rPr>
        <w:t xml:space="preserve"> — there is no `.github/workflows`. The 1008 tests are run manually.</w:t>
      </w:r>
    </w:p>
    <w:p>
      <w:pPr>
        <w:pStyle w:val="ListBullet"/>
        <w:spacing w:after="40"/>
        <w:ind w:left="317"/>
      </w:pPr>
      <w:r>
        <w:rPr>
          <w:rFonts w:ascii="Calibri" w:hAnsi="Calibri"/>
          <w:b/>
          <w:i w:val="0"/>
          <w:sz w:val="19"/>
        </w:rPr>
        <w:t>Schema migrations were not tracked</w:t>
      </w:r>
      <w:r>
        <w:rPr>
          <w:rFonts w:ascii="Calibri" w:hAnsi="Calibri"/>
          <w:b w:val="0"/>
          <w:i w:val="0"/>
          <w:sz w:val="19"/>
        </w:rPr>
        <w:t xml:space="preserve"> until `backend/migrations/001_add_conversation_threading.sql`. `Base.metadata.create_all` creates missing tables but never alters existing ones, so a database predating a column fails at insert while a fresh one works.</w:t>
      </w:r>
    </w:p>
    <w:p>
      <w:pPr>
        <w:pStyle w:val="ListBullet"/>
        <w:spacing w:after="40"/>
        <w:ind w:left="317"/>
      </w:pPr>
      <w:r>
        <w:rPr>
          <w:rFonts w:ascii="Calibri" w:hAnsi="Calibri"/>
          <w:b/>
          <w:i w:val="0"/>
          <w:sz w:val="19"/>
        </w:rPr>
        <w:t>Chat cannot answer aggregates</w:t>
      </w:r>
      <w:r>
        <w:rPr>
          <w:rFonts w:ascii="Calibri" w:hAnsi="Calibri"/>
          <w:b w:val="0"/>
          <w:i w:val="0"/>
          <w:sz w:val="19"/>
        </w:rPr>
        <w:t xml:space="preserve"> — "which country has the most artists" deliberately returns nothing rather than an arbitrary row. Aggregates are the Query tab's job.</w:t>
      </w:r>
    </w:p>
    <w:p>
      <w:pPr>
        <w:pStyle w:val="ListBullet"/>
        <w:spacing w:after="40"/>
        <w:ind w:left="317"/>
      </w:pPr>
      <w:r>
        <w:rPr>
          <w:rFonts w:ascii="Calibri" w:hAnsi="Calibri"/>
          <w:b/>
          <w:i w:val="0"/>
          <w:sz w:val="19"/>
        </w:rPr>
        <w:t>No explain-the-last-turn path</w:t>
      </w:r>
      <w:r>
        <w:rPr>
          <w:rFonts w:ascii="Calibri" w:hAnsi="Calibri"/>
          <w:b w:val="0"/>
          <w:i w:val="0"/>
          <w:sz w:val="19"/>
        </w:rPr>
        <w:t xml:space="preserve"> — "why?" retrieves differently, but nothing explains the previous answer specifically.</w:t>
      </w:r>
    </w:p>
    <w:p>
      <w:r>
        <w:br w:type="page"/>
      </w:r>
    </w:p>
    <w:p>
      <w:pPr>
        <w:pStyle w:val="Heading1"/>
      </w:pPr>
      <w:r>
        <w:t>8.  Who built what</w:t>
      </w:r>
    </w:p>
    <w:p>
      <w:pPr>
        <w:spacing w:after="80"/>
      </w:pPr>
      <w:r>
        <w:rPr>
          <w:rFonts w:ascii="Calibri" w:hAnsi="Calibri"/>
          <w:b w:val="0"/>
          <w:i w:val="0"/>
          <w:sz w:val="19"/>
        </w:rPr>
        <w:t xml:space="preserve">Derived from </w:t>
      </w:r>
      <w:r>
        <w:rPr>
          <w:rFonts w:ascii="Consolas" w:hAnsi="Consolas"/>
          <w:b w:val="0"/>
          <w:i w:val="0"/>
          <w:color w:val="9C5B5B"/>
          <w:sz w:val="17"/>
        </w:rPr>
        <w:t>git blame</w:t>
      </w:r>
      <w:r>
        <w:rPr>
          <w:rFonts w:ascii="Calibri" w:hAnsi="Calibri"/>
          <w:b w:val="0"/>
          <w:i w:val="0"/>
          <w:sz w:val="19"/>
        </w:rPr>
        <w:t xml:space="preserve"> line attribution on the integrated branch, not from memory. Three contributors.</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1F2A44"/>
          </w:tcPr>
          <w:p>
            <w:pPr>
              <w:spacing w:after="20"/>
            </w:pPr>
            <w:r/>
            <w:r>
              <w:rPr>
                <w:b/>
                <w:color w:val="FFFFFF"/>
                <w:sz w:val="17"/>
              </w:rPr>
              <w:t>Subsystem</w:t>
            </w:r>
          </w:p>
        </w:tc>
        <w:tc>
          <w:tcPr>
            <w:tcW w:type="dxa" w:w="2448"/>
            <w:shd w:fill="1F2A44"/>
          </w:tcPr>
          <w:p>
            <w:pPr>
              <w:spacing w:after="20"/>
            </w:pPr>
            <w:r/>
            <w:r>
              <w:rPr>
                <w:b/>
                <w:color w:val="FFFFFF"/>
                <w:sz w:val="17"/>
              </w:rPr>
              <w:t>Primary author</w:t>
            </w:r>
          </w:p>
        </w:tc>
        <w:tc>
          <w:tcPr>
            <w:tcW w:type="dxa" w:w="4608"/>
            <w:shd w:fill="1F2A44"/>
          </w:tcPr>
          <w:p>
            <w:pPr>
              <w:spacing w:after="20"/>
            </w:pPr>
            <w:r/>
            <w:r>
              <w:rPr>
                <w:b/>
                <w:color w:val="FFFFFF"/>
                <w:sz w:val="17"/>
              </w:rPr>
              <w:t>Evidence (attributed lines)</w:t>
            </w:r>
          </w:p>
        </w:tc>
      </w:tr>
      <w:tr>
        <w:tc>
          <w:tcPr>
            <w:tcW w:type="dxa" w:w="3024"/>
          </w:tcPr>
          <w:p>
            <w:pPr>
              <w:spacing w:after="20"/>
            </w:pPr>
            <w:r/>
            <w:r>
              <w:rPr>
                <w:sz w:val="17"/>
              </w:rPr>
              <w:t>Goal classifier</w:t>
            </w:r>
          </w:p>
        </w:tc>
        <w:tc>
          <w:tcPr>
            <w:tcW w:type="dxa" w:w="2448"/>
          </w:tcPr>
          <w:p>
            <w:pPr>
              <w:spacing w:after="20"/>
            </w:pPr>
            <w:r/>
            <w:r>
              <w:rPr>
                <w:sz w:val="17"/>
              </w:rPr>
              <w:t>Sarthak — sole author</w:t>
            </w:r>
          </w:p>
        </w:tc>
        <w:tc>
          <w:tcPr>
            <w:tcW w:type="dxa" w:w="4608"/>
          </w:tcPr>
          <w:p>
            <w:pPr>
              <w:spacing w:after="20"/>
            </w:pPr>
            <w:r/>
            <w:r>
              <w:rPr>
                <w:rFonts w:ascii="Consolas" w:hAnsi="Consolas"/>
                <w:color w:val="9C5B5B"/>
                <w:sz w:val="15"/>
              </w:rPr>
              <w:t>goal_classifier.py</w:t>
            </w:r>
            <w:r>
              <w:rPr>
                <w:sz w:val="17"/>
              </w:rPr>
              <w:t xml:space="preserve"> 342 / 342</w:t>
            </w:r>
          </w:p>
        </w:tc>
      </w:tr>
      <w:tr>
        <w:tc>
          <w:tcPr>
            <w:tcW w:type="dxa" w:w="3024"/>
          </w:tcPr>
          <w:p>
            <w:pPr>
              <w:spacing w:after="20"/>
            </w:pPr>
            <w:r/>
            <w:r>
              <w:rPr>
                <w:sz w:val="17"/>
              </w:rPr>
              <w:t>Pipeline planner</w:t>
            </w:r>
          </w:p>
        </w:tc>
        <w:tc>
          <w:tcPr>
            <w:tcW w:type="dxa" w:w="2448"/>
          </w:tcPr>
          <w:p>
            <w:pPr>
              <w:spacing w:after="20"/>
            </w:pPr>
            <w:r/>
            <w:r>
              <w:rPr>
                <w:sz w:val="17"/>
              </w:rPr>
              <w:t>Sarthak</w:t>
            </w:r>
          </w:p>
        </w:tc>
        <w:tc>
          <w:tcPr>
            <w:tcW w:type="dxa" w:w="4608"/>
          </w:tcPr>
          <w:p>
            <w:pPr>
              <w:spacing w:after="20"/>
            </w:pPr>
            <w:r/>
            <w:r>
              <w:rPr>
                <w:rFonts w:ascii="Consolas" w:hAnsi="Consolas"/>
                <w:color w:val="9C5B5B"/>
                <w:sz w:val="15"/>
              </w:rPr>
              <w:t>planner.py</w:t>
            </w:r>
            <w:r>
              <w:rPr>
                <w:sz w:val="17"/>
              </w:rPr>
              <w:t xml:space="preserve"> 156 of 180</w:t>
            </w:r>
          </w:p>
        </w:tc>
      </w:tr>
      <w:tr>
        <w:tc>
          <w:tcPr>
            <w:tcW w:type="dxa" w:w="3024"/>
          </w:tcPr>
          <w:p>
            <w:pPr>
              <w:spacing w:after="20"/>
            </w:pPr>
            <w:r/>
            <w:r>
              <w:rPr>
                <w:sz w:val="17"/>
              </w:rPr>
              <w:t>Evaluation harness &amp; metrics</w:t>
            </w:r>
          </w:p>
        </w:tc>
        <w:tc>
          <w:tcPr>
            <w:tcW w:type="dxa" w:w="2448"/>
          </w:tcPr>
          <w:p>
            <w:pPr>
              <w:spacing w:after="20"/>
            </w:pPr>
            <w:r/>
            <w:r>
              <w:rPr>
                <w:sz w:val="17"/>
              </w:rPr>
              <w:t>Sarthak — sole author</w:t>
            </w:r>
          </w:p>
        </w:tc>
        <w:tc>
          <w:tcPr>
            <w:tcW w:type="dxa" w:w="4608"/>
          </w:tcPr>
          <w:p>
            <w:pPr>
              <w:spacing w:after="20"/>
            </w:pPr>
            <w:r/>
            <w:r>
              <w:rPr>
                <w:rFonts w:ascii="Consolas" w:hAnsi="Consolas"/>
                <w:color w:val="9C5B5B"/>
                <w:sz w:val="15"/>
              </w:rPr>
              <w:t>harness.py</w:t>
            </w:r>
            <w:r>
              <w:rPr>
                <w:sz w:val="17"/>
              </w:rPr>
              <w:t xml:space="preserve"> 452, </w:t>
            </w:r>
            <w:r>
              <w:rPr>
                <w:rFonts w:ascii="Consolas" w:hAnsi="Consolas"/>
                <w:color w:val="9C5B5B"/>
                <w:sz w:val="15"/>
              </w:rPr>
              <w:t>metrics.py</w:t>
            </w:r>
            <w:r>
              <w:rPr>
                <w:sz w:val="17"/>
              </w:rPr>
              <w:t xml:space="preserve"> 276</w:t>
            </w:r>
          </w:p>
        </w:tc>
      </w:tr>
      <w:tr>
        <w:tc>
          <w:tcPr>
            <w:tcW w:type="dxa" w:w="3024"/>
          </w:tcPr>
          <w:p>
            <w:pPr>
              <w:spacing w:after="20"/>
            </w:pPr>
            <w:r/>
            <w:r>
              <w:rPr>
                <w:sz w:val="17"/>
              </w:rPr>
              <w:t>Conversation resolution</w:t>
            </w:r>
          </w:p>
        </w:tc>
        <w:tc>
          <w:tcPr>
            <w:tcW w:type="dxa" w:w="2448"/>
          </w:tcPr>
          <w:p>
            <w:pPr>
              <w:spacing w:after="20"/>
            </w:pPr>
            <w:r/>
            <w:r>
              <w:rPr>
                <w:sz w:val="17"/>
              </w:rPr>
              <w:t>Sarthak — sole author</w:t>
            </w:r>
          </w:p>
        </w:tc>
        <w:tc>
          <w:tcPr>
            <w:tcW w:type="dxa" w:w="4608"/>
          </w:tcPr>
          <w:p>
            <w:pPr>
              <w:spacing w:after="20"/>
            </w:pPr>
            <w:r/>
            <w:r>
              <w:rPr>
                <w:rFonts w:ascii="Consolas" w:hAnsi="Consolas"/>
                <w:color w:val="9C5B5B"/>
                <w:sz w:val="15"/>
              </w:rPr>
              <w:t>conversation.py</w:t>
            </w:r>
            <w:r>
              <w:rPr>
                <w:sz w:val="17"/>
              </w:rPr>
              <w:t xml:space="preserve"> 239 / 239</w:t>
            </w:r>
          </w:p>
        </w:tc>
      </w:tr>
      <w:tr>
        <w:tc>
          <w:tcPr>
            <w:tcW w:type="dxa" w:w="3024"/>
          </w:tcPr>
          <w:p>
            <w:pPr>
              <w:spacing w:after="20"/>
            </w:pPr>
            <w:r/>
            <w:r>
              <w:rPr>
                <w:sz w:val="17"/>
              </w:rPr>
              <w:t>Time-series decomposition</w:t>
            </w:r>
          </w:p>
        </w:tc>
        <w:tc>
          <w:tcPr>
            <w:tcW w:type="dxa" w:w="2448"/>
          </w:tcPr>
          <w:p>
            <w:pPr>
              <w:spacing w:after="20"/>
            </w:pPr>
            <w:r/>
            <w:r>
              <w:rPr>
                <w:sz w:val="17"/>
              </w:rPr>
              <w:t>Sarthak — sole author</w:t>
            </w:r>
          </w:p>
        </w:tc>
        <w:tc>
          <w:tcPr>
            <w:tcW w:type="dxa" w:w="4608"/>
          </w:tcPr>
          <w:p>
            <w:pPr>
              <w:spacing w:after="20"/>
            </w:pPr>
            <w:r/>
            <w:r>
              <w:rPr>
                <w:rFonts w:ascii="Consolas" w:hAnsi="Consolas"/>
                <w:color w:val="9C5B5B"/>
                <w:sz w:val="15"/>
              </w:rPr>
              <w:t>temporal.py</w:t>
            </w:r>
            <w:r>
              <w:rPr>
                <w:sz w:val="17"/>
              </w:rPr>
              <w:t xml:space="preserve"> 64 / 64</w:t>
            </w:r>
          </w:p>
        </w:tc>
      </w:tr>
      <w:tr>
        <w:tc>
          <w:tcPr>
            <w:tcW w:type="dxa" w:w="3024"/>
          </w:tcPr>
          <w:p>
            <w:pPr>
              <w:spacing w:after="20"/>
            </w:pPr>
            <w:r/>
            <w:r>
              <w:rPr>
                <w:sz w:val="17"/>
              </w:rPr>
              <w:t>Orchestrator / ReAct loop</w:t>
            </w:r>
          </w:p>
        </w:tc>
        <w:tc>
          <w:tcPr>
            <w:tcW w:type="dxa" w:w="2448"/>
          </w:tcPr>
          <w:p>
            <w:pPr>
              <w:spacing w:after="20"/>
            </w:pPr>
            <w:r/>
            <w:r>
              <w:rPr>
                <w:sz w:val="17"/>
              </w:rPr>
              <w:t>Sarthak (majority)</w:t>
            </w:r>
          </w:p>
        </w:tc>
        <w:tc>
          <w:tcPr>
            <w:tcW w:type="dxa" w:w="4608"/>
          </w:tcPr>
          <w:p>
            <w:pPr>
              <w:spacing w:after="20"/>
            </w:pPr>
            <w:r/>
            <w:r>
              <w:rPr>
                <w:rFonts w:ascii="Consolas" w:hAnsi="Consolas"/>
                <w:color w:val="9C5B5B"/>
                <w:sz w:val="15"/>
              </w:rPr>
              <w:t>orchestrator.py</w:t>
            </w:r>
            <w:r>
              <w:rPr>
                <w:sz w:val="17"/>
              </w:rPr>
              <w:t xml:space="preserve"> 319/241</w:t>
            </w:r>
          </w:p>
        </w:tc>
      </w:tr>
      <w:tr>
        <w:tc>
          <w:tcPr>
            <w:tcW w:type="dxa" w:w="3024"/>
          </w:tcPr>
          <w:p>
            <w:pPr>
              <w:spacing w:after="20"/>
            </w:pPr>
            <w:r/>
            <w:r>
              <w:rPr>
                <w:sz w:val="17"/>
              </w:rPr>
              <w:t>Mining &amp; visualization agents</w:t>
            </w:r>
          </w:p>
        </w:tc>
        <w:tc>
          <w:tcPr>
            <w:tcW w:type="dxa" w:w="2448"/>
          </w:tcPr>
          <w:p>
            <w:pPr>
              <w:spacing w:after="20"/>
            </w:pPr>
            <w:r/>
            <w:r>
              <w:rPr>
                <w:sz w:val="17"/>
              </w:rPr>
              <w:t>Sarthak (majority)</w:t>
            </w:r>
          </w:p>
        </w:tc>
        <w:tc>
          <w:tcPr>
            <w:tcW w:type="dxa" w:w="4608"/>
          </w:tcPr>
          <w:p>
            <w:pPr>
              <w:spacing w:after="20"/>
            </w:pPr>
            <w:r/>
            <w:r>
              <w:rPr>
                <w:rFonts w:ascii="Consolas" w:hAnsi="Consolas"/>
                <w:color w:val="9C5B5B"/>
                <w:sz w:val="15"/>
              </w:rPr>
              <w:t>mining_agent.py</w:t>
            </w:r>
            <w:r>
              <w:rPr>
                <w:sz w:val="17"/>
              </w:rPr>
              <w:t xml:space="preserve"> 664/293 · </w:t>
            </w:r>
            <w:r>
              <w:rPr>
                <w:rFonts w:ascii="Consolas" w:hAnsi="Consolas"/>
                <w:color w:val="9C5B5B"/>
                <w:sz w:val="15"/>
              </w:rPr>
              <w:t>visualization_agent.py</w:t>
            </w:r>
            <w:r>
              <w:rPr>
                <w:sz w:val="17"/>
              </w:rPr>
              <w:t xml:space="preserve"> 696/193</w:t>
            </w:r>
          </w:p>
        </w:tc>
      </w:tr>
      <w:tr>
        <w:tc>
          <w:tcPr>
            <w:tcW w:type="dxa" w:w="3024"/>
          </w:tcPr>
          <w:p>
            <w:pPr>
              <w:spacing w:after="20"/>
            </w:pPr>
            <w:r/>
            <w:r>
              <w:rPr>
                <w:sz w:val="17"/>
              </w:rPr>
              <w:t>Recommendation agent</w:t>
            </w:r>
          </w:p>
        </w:tc>
        <w:tc>
          <w:tcPr>
            <w:tcW w:type="dxa" w:w="2448"/>
          </w:tcPr>
          <w:p>
            <w:pPr>
              <w:spacing w:after="20"/>
            </w:pPr>
            <w:r/>
            <w:r>
              <w:rPr>
                <w:sz w:val="17"/>
              </w:rPr>
              <w:t>Sarthak (majority)</w:t>
            </w:r>
          </w:p>
        </w:tc>
        <w:tc>
          <w:tcPr>
            <w:tcW w:type="dxa" w:w="4608"/>
          </w:tcPr>
          <w:p>
            <w:pPr>
              <w:spacing w:after="20"/>
            </w:pPr>
            <w:r/>
            <w:r>
              <w:rPr>
                <w:rFonts w:ascii="Consolas" w:hAnsi="Consolas"/>
                <w:color w:val="9C5B5B"/>
                <w:sz w:val="15"/>
              </w:rPr>
              <w:t>recommendation_agent.py</w:t>
            </w:r>
            <w:r>
              <w:rPr>
                <w:sz w:val="17"/>
              </w:rPr>
              <w:t xml:space="preserve"> 628/288</w:t>
            </w:r>
          </w:p>
        </w:tc>
      </w:tr>
      <w:tr>
        <w:tc>
          <w:tcPr>
            <w:tcW w:type="dxa" w:w="3024"/>
          </w:tcPr>
          <w:p>
            <w:pPr>
              <w:spacing w:after="20"/>
            </w:pPr>
            <w:r/>
            <w:r>
              <w:rPr>
                <w:sz w:val="17"/>
              </w:rPr>
              <w:t>API surface / routers</w:t>
            </w:r>
          </w:p>
        </w:tc>
        <w:tc>
          <w:tcPr>
            <w:tcW w:type="dxa" w:w="2448"/>
          </w:tcPr>
          <w:p>
            <w:pPr>
              <w:spacing w:after="20"/>
            </w:pPr>
            <w:r/>
            <w:r>
              <w:rPr>
                <w:sz w:val="17"/>
              </w:rPr>
              <w:t>Bhagyasree Roy</w:t>
            </w:r>
          </w:p>
        </w:tc>
        <w:tc>
          <w:tcPr>
            <w:tcW w:type="dxa" w:w="4608"/>
          </w:tcPr>
          <w:p>
            <w:pPr>
              <w:spacing w:after="20"/>
            </w:pPr>
            <w:r/>
            <w:r>
              <w:rPr>
                <w:rFonts w:ascii="Consolas" w:hAnsi="Consolas"/>
                <w:color w:val="9C5B5B"/>
                <w:sz w:val="15"/>
              </w:rPr>
              <w:t>routers/analysis.py</w:t>
            </w:r>
            <w:r>
              <w:rPr>
                <w:sz w:val="17"/>
              </w:rPr>
              <w:t xml:space="preserve"> 731/359</w:t>
            </w:r>
          </w:p>
        </w:tc>
      </w:tr>
      <w:tr>
        <w:tc>
          <w:tcPr>
            <w:tcW w:type="dxa" w:w="3024"/>
          </w:tcPr>
          <w:p>
            <w:pPr>
              <w:spacing w:after="20"/>
            </w:pPr>
            <w:r/>
            <w:r>
              <w:rPr>
                <w:sz w:val="17"/>
              </w:rPr>
              <w:t>Sharing &amp; persisted threads</w:t>
            </w:r>
          </w:p>
        </w:tc>
        <w:tc>
          <w:tcPr>
            <w:tcW w:type="dxa" w:w="2448"/>
          </w:tcPr>
          <w:p>
            <w:pPr>
              <w:spacing w:after="20"/>
            </w:pPr>
            <w:r/>
            <w:r>
              <w:rPr>
                <w:sz w:val="17"/>
              </w:rPr>
              <w:t>Bhagyasree Roy</w:t>
            </w:r>
          </w:p>
        </w:tc>
        <w:tc>
          <w:tcPr>
            <w:tcW w:type="dxa" w:w="4608"/>
          </w:tcPr>
          <w:p>
            <w:pPr>
              <w:spacing w:after="20"/>
            </w:pPr>
            <w:r/>
            <w:r>
              <w:rPr>
                <w:rFonts w:ascii="Consolas" w:hAnsi="Consolas"/>
                <w:color w:val="9C5B5B"/>
                <w:sz w:val="15"/>
              </w:rPr>
              <w:t>share/[runId]/page.tsx</w:t>
            </w:r>
            <w:r>
              <w:rPr>
                <w:sz w:val="17"/>
              </w:rPr>
              <w:t xml:space="preserve"> 135 / 135</w:t>
            </w:r>
          </w:p>
        </w:tc>
      </w:tr>
      <w:tr>
        <w:tc>
          <w:tcPr>
            <w:tcW w:type="dxa" w:w="3024"/>
          </w:tcPr>
          <w:p>
            <w:pPr>
              <w:spacing w:after="20"/>
            </w:pPr>
            <w:r/>
            <w:r>
              <w:rPr>
                <w:sz w:val="17"/>
              </w:rPr>
              <w:t>RAG vector store &amp; embeddings</w:t>
            </w:r>
          </w:p>
        </w:tc>
        <w:tc>
          <w:tcPr>
            <w:tcW w:type="dxa" w:w="2448"/>
          </w:tcPr>
          <w:p>
            <w:pPr>
              <w:spacing w:after="20"/>
            </w:pPr>
            <w:r/>
            <w:r>
              <w:rPr>
                <w:sz w:val="17"/>
              </w:rPr>
              <w:t>Bhagyasree Roy</w:t>
            </w:r>
          </w:p>
        </w:tc>
        <w:tc>
          <w:tcPr>
            <w:tcW w:type="dxa" w:w="4608"/>
          </w:tcPr>
          <w:p>
            <w:pPr>
              <w:spacing w:after="20"/>
            </w:pPr>
            <w:r/>
            <w:r>
              <w:rPr>
                <w:rFonts w:ascii="Consolas" w:hAnsi="Consolas"/>
                <w:color w:val="9C5B5B"/>
                <w:sz w:val="15"/>
              </w:rPr>
              <w:t>vector_store.py</w:t>
            </w:r>
            <w:r>
              <w:rPr>
                <w:sz w:val="17"/>
              </w:rPr>
              <w:t xml:space="preserve"> 224/149</w:t>
            </w:r>
          </w:p>
        </w:tc>
      </w:tr>
      <w:tr>
        <w:tc>
          <w:tcPr>
            <w:tcW w:type="dxa" w:w="3024"/>
          </w:tcPr>
          <w:p>
            <w:pPr>
              <w:spacing w:after="20"/>
            </w:pPr>
            <w:r/>
            <w:r>
              <w:rPr>
                <w:sz w:val="17"/>
              </w:rPr>
              <w:t>Ingestion &amp; explain agents</w:t>
            </w:r>
          </w:p>
        </w:tc>
        <w:tc>
          <w:tcPr>
            <w:tcW w:type="dxa" w:w="2448"/>
          </w:tcPr>
          <w:p>
            <w:pPr>
              <w:spacing w:after="20"/>
            </w:pPr>
            <w:r/>
            <w:r>
              <w:rPr>
                <w:sz w:val="17"/>
              </w:rPr>
              <w:t>Bhagyasree Roy</w:t>
            </w:r>
          </w:p>
        </w:tc>
        <w:tc>
          <w:tcPr>
            <w:tcW w:type="dxa" w:w="4608"/>
          </w:tcPr>
          <w:p>
            <w:pPr>
              <w:spacing w:after="20"/>
            </w:pPr>
            <w:r/>
            <w:r>
              <w:rPr>
                <w:rFonts w:ascii="Consolas" w:hAnsi="Consolas"/>
                <w:color w:val="9C5B5B"/>
                <w:sz w:val="15"/>
              </w:rPr>
              <w:t>ingestion_agent.py</w:t>
            </w:r>
            <w:r>
              <w:rPr>
                <w:sz w:val="17"/>
              </w:rPr>
              <w:t xml:space="preserve"> 210/46</w:t>
            </w:r>
          </w:p>
        </w:tc>
      </w:tr>
      <w:tr>
        <w:tc>
          <w:tcPr>
            <w:tcW w:type="dxa" w:w="3024"/>
          </w:tcPr>
          <w:p>
            <w:pPr>
              <w:spacing w:after="20"/>
            </w:pPr>
            <w:r/>
            <w:r>
              <w:rPr>
                <w:sz w:val="17"/>
              </w:rPr>
              <w:t>Authentication</w:t>
            </w:r>
          </w:p>
        </w:tc>
        <w:tc>
          <w:tcPr>
            <w:tcW w:type="dxa" w:w="2448"/>
          </w:tcPr>
          <w:p>
            <w:pPr>
              <w:spacing w:after="20"/>
            </w:pPr>
            <w:r/>
            <w:r>
              <w:rPr>
                <w:sz w:val="17"/>
              </w:rPr>
              <w:t>Neha N</w:t>
            </w:r>
          </w:p>
        </w:tc>
        <w:tc>
          <w:tcPr>
            <w:tcW w:type="dxa" w:w="4608"/>
          </w:tcPr>
          <w:p>
            <w:pPr>
              <w:spacing w:after="20"/>
            </w:pPr>
            <w:r/>
            <w:r>
              <w:rPr>
                <w:rFonts w:ascii="Consolas" w:hAnsi="Consolas"/>
                <w:color w:val="9C5B5B"/>
                <w:sz w:val="15"/>
              </w:rPr>
              <w:t>routers/auth.py</w:t>
            </w:r>
            <w:r>
              <w:rPr>
                <w:sz w:val="17"/>
              </w:rPr>
              <w:t xml:space="preserve"> 194 of ~290</w:t>
            </w:r>
          </w:p>
        </w:tc>
      </w:tr>
    </w:tbl>
    <w:tbl>
      <w:tblPr>
        <w:tblStyle w:val="TableGrid"/>
        <w:tblW w:type="auto" w:w="0"/>
        <w:tblLook w:firstColumn="1" w:firstRow="1" w:lastColumn="0" w:lastRow="0" w:noHBand="0" w:noVBand="1" w:val="04A0"/>
      </w:tblPr>
      <w:tblGrid>
        <w:gridCol w:w="10080"/>
      </w:tblGrid>
      <w:tr>
        <w:tc>
          <w:tcPr>
            <w:tcW w:type="dxa" w:w="10080"/>
            <w:shd w:fill="F2EEE9"/>
          </w:tcPr>
          <w:p>
            <w:pPr>
              <w:spacing w:after="40"/>
            </w:pPr>
            <w:r/>
            <w:r>
              <w:rPr>
                <w:b/>
                <w:color w:val="9C5B5B"/>
                <w:sz w:val="17"/>
              </w:rPr>
              <w:t xml:space="preserve">IF ASKED "WHAT DID YOU PERSONALLY DO?"  </w:t>
            </w:r>
            <w:r>
              <w:rPr>
                <w:sz w:val="18"/>
              </w:rPr>
              <w:t>The goal-conditioning mechanism and the evidence for it: the classifier that turns a sentence into a task type, the planner that turns it into a computation set, the orchestrator loop that runs and reflects on it, and the harness that measures whether any of it works. Those are the parts the thesis stands on.</w:t>
            </w:r>
          </w:p>
        </w:tc>
      </w:tr>
    </w:tbl>
    <w:p>
      <w:pPr>
        <w:spacing w:after="40"/>
      </w:pPr>
    </w:p>
    <w:p>
      <w:pPr>
        <w:pStyle w:val="Heading1"/>
      </w:pPr>
      <w:r>
        <w:t>9.  Demo runbook</w:t>
      </w:r>
    </w:p>
    <w:p>
      <w:pPr>
        <w:pStyle w:val="Heading3"/>
      </w:pPr>
      <w:r>
        <w:t>Pre-flight — do this before the room fills</w:t>
      </w:r>
    </w:p>
    <w:p>
      <w:pPr>
        <w:pStyle w:val="ListBullet"/>
        <w:spacing w:after="40"/>
        <w:ind w:left="317"/>
      </w:pPr>
      <w:r>
        <w:rPr>
          <w:rFonts w:ascii="Calibri" w:hAnsi="Calibri"/>
          <w:b w:val="0"/>
          <w:i w:val="0"/>
          <w:sz w:val="19"/>
        </w:rPr>
        <w:t xml:space="preserve">Bring the stack up: </w:t>
      </w:r>
      <w:r>
        <w:rPr>
          <w:rFonts w:ascii="Consolas" w:hAnsi="Consolas"/>
          <w:b w:val="0"/>
          <w:i w:val="0"/>
          <w:color w:val="9C5B5B"/>
          <w:sz w:val="17"/>
        </w:rPr>
        <w:t>docker compose up -d --build</w:t>
      </w:r>
      <w:r>
        <w:rPr>
          <w:rFonts w:ascii="Calibri" w:hAnsi="Calibri"/>
          <w:b w:val="0"/>
          <w:i w:val="0"/>
          <w:sz w:val="19"/>
        </w:rPr>
        <w:t>. Source is baked into the images — a code change without `--build` will not appear.</w:t>
      </w:r>
    </w:p>
    <w:p>
      <w:pPr>
        <w:pStyle w:val="ListBullet"/>
        <w:spacing w:after="40"/>
        <w:ind w:left="317"/>
      </w:pPr>
      <w:r>
        <w:rPr>
          <w:rFonts w:ascii="Calibri" w:hAnsi="Calibri"/>
          <w:b w:val="0"/>
          <w:i w:val="0"/>
          <w:sz w:val="19"/>
        </w:rPr>
        <w:t xml:space="preserve">Apply the migration if the database is not fresh: </w:t>
      </w:r>
      <w:r>
        <w:rPr>
          <w:rFonts w:ascii="Consolas" w:hAnsi="Consolas"/>
          <w:b w:val="0"/>
          <w:i w:val="0"/>
          <w:color w:val="9C5B5B"/>
          <w:sz w:val="17"/>
        </w:rPr>
        <w:t>psql "$DATABASE_URL" -f backend/migrations/001_add_conversation_threading.sql</w:t>
      </w:r>
    </w:p>
    <w:p>
      <w:pPr>
        <w:pStyle w:val="ListBullet"/>
        <w:spacing w:after="40"/>
        <w:ind w:left="317"/>
      </w:pPr>
      <w:r>
        <w:rPr>
          <w:rFonts w:ascii="Calibri" w:hAnsi="Calibri"/>
          <w:b w:val="0"/>
          <w:i w:val="0"/>
          <w:sz w:val="19"/>
        </w:rPr>
        <w:t xml:space="preserve">Log in ahead of time; have </w:t>
      </w:r>
      <w:r>
        <w:rPr>
          <w:rFonts w:ascii="Consolas" w:hAnsi="Consolas"/>
          <w:b w:val="0"/>
          <w:i w:val="0"/>
          <w:color w:val="9C5B5B"/>
          <w:sz w:val="17"/>
        </w:rPr>
        <w:t>customer_orders</w:t>
      </w:r>
      <w:r>
        <w:rPr>
          <w:rFonts w:ascii="Calibri" w:hAnsi="Calibri"/>
          <w:b w:val="0"/>
          <w:i w:val="0"/>
          <w:sz w:val="19"/>
        </w:rPr>
        <w:t xml:space="preserve"> ready to upload. A blank report means the stack is down, not that the agents failed.</w:t>
      </w:r>
    </w:p>
    <w:p>
      <w:pPr>
        <w:pStyle w:val="Heading3"/>
      </w:pPr>
      <w:r>
        <w:t>The run — 6 minutes, one dataset, two goals</w:t>
      </w:r>
    </w:p>
    <w:tbl>
      <w:tblPr>
        <w:tblStyle w:val="TableGrid"/>
        <w:tblW w:type="auto" w:w="0"/>
        <w:tblLook w:firstColumn="1" w:firstRow="1" w:lastColumn="0" w:lastRow="0" w:noHBand="0" w:noVBand="1" w:val="04A0"/>
      </w:tblPr>
      <w:tblGrid>
        <w:gridCol w:w="10080"/>
      </w:tblGrid>
      <w:tr>
        <w:tc>
          <w:tcPr>
            <w:tcW w:type="dxa" w:w="10080"/>
            <w:shd w:fill="F2EEE9"/>
          </w:tcPr>
          <w:p>
            <w:pPr>
              <w:spacing w:after="40"/>
            </w:pPr>
            <w:r/>
            <w:r>
              <w:rPr>
                <w:b/>
                <w:color w:val="9C5B5B"/>
                <w:sz w:val="17"/>
              </w:rPr>
              <w:t xml:space="preserve">SAY  (opening, ~25 s)  </w:t>
            </w:r>
            <w:r>
              <w:rPr>
                <w:sz w:val="18"/>
              </w:rPr>
              <w:t>Automated EDA tools give you the same report no matter why you opened the dataset. MAGE takes the goal in plain English and uses it to decide what analysis actually runs. I am going to run the same dataset twice, with two different goals, and show you that different work happens — not a different view of the same work.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2EEE9"/>
          </w:tcPr>
          <w:p>
            <w:pPr>
              <w:spacing w:after="40"/>
            </w:pPr>
            <w:r/>
            <w:r>
              <w:rPr>
                <w:b/>
                <w:color w:val="9C5B5B"/>
                <w:sz w:val="17"/>
              </w:rPr>
              <w:t xml:space="preserve">SHOW  (step 1 — ~90 s)  </w:t>
            </w:r>
            <w:r>
              <w:rPr>
                <w:sz w:val="18"/>
              </w:rPr>
              <w:t xml:space="preserve">Upload </w:t>
            </w:r>
            <w:r>
              <w:rPr>
                <w:rFonts w:ascii="Consolas" w:hAnsi="Consolas"/>
                <w:color w:val="1F2A44"/>
                <w:sz w:val="16"/>
              </w:rPr>
              <w:t>customer_orders</w:t>
            </w:r>
            <w:r>
              <w:rPr>
                <w:sz w:val="18"/>
              </w:rPr>
              <w:t>. Goal: "predict which customers will churn". While it runs, point at the live agent trail — that is the WebSocket, and it is the real Reason–Act–Observe log, not a progress animation.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2EEE9"/>
          </w:tcPr>
          <w:p>
            <w:pPr>
              <w:spacing w:after="40"/>
            </w:pPr>
            <w:r/>
            <w:r>
              <w:rPr>
                <w:b/>
                <w:color w:val="9C5B5B"/>
                <w:sz w:val="17"/>
              </w:rPr>
              <w:t xml:space="preserve">SHOW  (step 2 — the money shot, ~90 s)  </w:t>
            </w:r>
            <w:r>
              <w:rPr>
                <w:sz w:val="18"/>
              </w:rPr>
              <w:t xml:space="preserve">Open the agent trail and read the MiningAgent directives aloud: </w:t>
            </w:r>
            <w:r>
              <w:rPr>
                <w:rFonts w:ascii="Consolas" w:hAnsi="Consolas"/>
                <w:color w:val="1F2A44"/>
                <w:sz w:val="16"/>
              </w:rPr>
              <w:t>class_balance</w:t>
            </w:r>
            <w:r>
              <w:rPr>
                <w:sz w:val="18"/>
              </w:rPr>
              <w:t xml:space="preserve">, </w:t>
            </w:r>
            <w:r>
              <w:rPr>
                <w:rFonts w:ascii="Consolas" w:hAnsi="Consolas"/>
                <w:color w:val="1F2A44"/>
                <w:sz w:val="16"/>
              </w:rPr>
              <w:t>feature_importance</w:t>
            </w:r>
            <w:r>
              <w:rPr>
                <w:sz w:val="18"/>
              </w:rPr>
              <w:t xml:space="preserve">, </w:t>
            </w:r>
            <w:r>
              <w:rPr>
                <w:rFonts w:ascii="Consolas" w:hAnsi="Consolas"/>
                <w:color w:val="1F2A44"/>
                <w:sz w:val="16"/>
              </w:rPr>
              <w:t>correlation</w:t>
            </w:r>
            <w:r>
              <w:rPr>
                <w:sz w:val="18"/>
              </w:rPr>
              <w:t xml:space="preserve">, </w:t>
            </w:r>
            <w:r>
              <w:rPr>
                <w:rFonts w:ascii="Consolas" w:hAnsi="Consolas"/>
                <w:color w:val="1F2A44"/>
                <w:sz w:val="16"/>
              </w:rPr>
              <w:t>shap_attribution</w:t>
            </w:r>
            <w:r>
              <w:rPr>
                <w:sz w:val="18"/>
              </w:rPr>
              <w:t xml:space="preserve">. Then run the SAME dataset with "find unusual orders". Show the directives are now </w:t>
            </w:r>
            <w:r>
              <w:rPr>
                <w:rFonts w:ascii="Consolas" w:hAnsi="Consolas"/>
                <w:color w:val="1F2A44"/>
                <w:sz w:val="16"/>
              </w:rPr>
              <w:t>iqr_outliers</w:t>
            </w:r>
            <w:r>
              <w:rPr>
                <w:sz w:val="18"/>
              </w:rPr>
              <w:t xml:space="preserve">, </w:t>
            </w:r>
            <w:r>
              <w:rPr>
                <w:rFonts w:ascii="Consolas" w:hAnsi="Consolas"/>
                <w:color w:val="1F2A44"/>
                <w:sz w:val="16"/>
              </w:rPr>
              <w:t>isolation_forest</w:t>
            </w:r>
            <w:r>
              <w:rPr>
                <w:sz w:val="18"/>
              </w:rPr>
              <w:t xml:space="preserve">, </w:t>
            </w:r>
            <w:r>
              <w:rPr>
                <w:rFonts w:ascii="Consolas" w:hAnsi="Consolas"/>
                <w:color w:val="1F2A44"/>
                <w:sz w:val="16"/>
              </w:rPr>
              <w:t>distribution_tails</w:t>
            </w:r>
            <w:r>
              <w:rPr>
                <w:sz w:val="18"/>
              </w:rPr>
              <w:t>. Same data, different computations.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2EEE9"/>
          </w:tcPr>
          <w:p>
            <w:pPr>
              <w:spacing w:after="40"/>
            </w:pPr>
            <w:r/>
            <w:r>
              <w:rPr>
                <w:b/>
                <w:color w:val="9C5B5B"/>
                <w:sz w:val="17"/>
              </w:rPr>
              <w:t xml:space="preserve">SHOW  (step 3 — grounding, ~60 s)  </w:t>
            </w:r>
            <w:r>
              <w:rPr>
                <w:sz w:val="18"/>
              </w:rPr>
              <w:t>Point at a recommendation card and its citation. Click Explain. Then ask a follow-up in chat and show it gets a different answer than the opening one — and that reloading the page keeps the conversation.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2EEE9"/>
          </w:tcPr>
          <w:p>
            <w:pPr>
              <w:spacing w:after="40"/>
            </w:pPr>
            <w:r/>
            <w:r>
              <w:rPr>
                <w:b/>
                <w:color w:val="9C5B5B"/>
                <w:sz w:val="17"/>
              </w:rPr>
              <w:t xml:space="preserve">SHOW  (step 4 — the evidence, ~60 s)  </w:t>
            </w:r>
            <w:r>
              <w:rPr>
                <w:sz w:val="18"/>
              </w:rPr>
              <w:t xml:space="preserve">Open </w:t>
            </w:r>
            <w:r>
              <w:rPr>
                <w:rFonts w:ascii="Consolas" w:hAnsi="Consolas"/>
                <w:color w:val="1F2A44"/>
                <w:sz w:val="16"/>
              </w:rPr>
              <w:t>evaluation/results.md</w:t>
            </w:r>
            <w:r>
              <w:rPr>
                <w:sz w:val="18"/>
              </w:rPr>
              <w:t>. Divergence 0.836 versus the baseline's 0.000. Say the sentence about the baseline reaching recall by brute force.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2EEE9"/>
          </w:tcPr>
          <w:p>
            <w:pPr>
              <w:spacing w:after="40"/>
            </w:pPr>
            <w:r/>
            <w:r>
              <w:rPr>
                <w:b/>
                <w:color w:val="9C5B5B"/>
                <w:sz w:val="17"/>
              </w:rPr>
              <w:t xml:space="preserve">AVOID  </w:t>
            </w:r>
            <w:r>
              <w:rPr>
                <w:sz w:val="18"/>
              </w:rPr>
              <w:t>Aggregate chat questions ("which country has the most…") deliberately return nothing. Do not swap in an unfamiliar dataset — an infeasible goal silently falls back to overview charts, muddying the exact point you are making. Skip LLM mode unless asked; it needs a live API key.</w:t>
            </w:r>
          </w:p>
        </w:tc>
      </w:tr>
    </w:tbl>
    <w:p>
      <w:pPr>
        <w:spacing w:after="40"/>
      </w:pPr>
    </w:p>
    <w:p>
      <w:r>
        <w:br w:type="page"/>
      </w:r>
    </w:p>
    <w:p>
      <w:pPr>
        <w:pStyle w:val="Heading1"/>
      </w:pPr>
      <w:r>
        <w:t>10.  Anticipated questions</w:t>
      </w:r>
    </w:p>
    <w:tbl>
      <w:tblPr>
        <w:tblStyle w:val="TableGrid"/>
        <w:tblW w:type="auto" w:w="0"/>
        <w:jc w:val="center"/>
        <w:tblLook w:firstColumn="1" w:firstRow="1" w:lastColumn="0" w:lastRow="0" w:noHBand="0" w:noVBand="1" w:val="04A0"/>
      </w:tblPr>
      <w:tblGrid>
        <w:gridCol w:w="5040"/>
        <w:gridCol w:w="5040"/>
      </w:tblGrid>
      <w:tr>
        <w:tc>
          <w:tcPr>
            <w:tcW w:type="dxa" w:w="3312"/>
            <w:shd w:fill="1F2A44"/>
          </w:tcPr>
          <w:p>
            <w:pPr>
              <w:spacing w:after="20"/>
            </w:pPr>
            <w:r/>
            <w:r>
              <w:rPr>
                <w:b/>
                <w:color w:val="FFFFFF"/>
                <w:sz w:val="17"/>
              </w:rPr>
              <w:t>Question</w:t>
            </w:r>
          </w:p>
        </w:tc>
        <w:tc>
          <w:tcPr>
            <w:tcW w:type="dxa" w:w="6768"/>
            <w:shd w:fill="1F2A44"/>
          </w:tcPr>
          <w:p>
            <w:pPr>
              <w:spacing w:after="20"/>
            </w:pPr>
            <w:r/>
            <w:r>
              <w:rPr>
                <w:b/>
                <w:color w:val="FFFFFF"/>
                <w:sz w:val="17"/>
              </w:rPr>
              <w:t>Answer</w:t>
            </w:r>
          </w:p>
        </w:tc>
      </w:tr>
      <w:tr>
        <w:tc>
          <w:tcPr>
            <w:tcW w:type="dxa" w:w="3312"/>
          </w:tcPr>
          <w:p>
            <w:pPr>
              <w:spacing w:after="20"/>
            </w:pPr>
            <w:r/>
            <w:r>
              <w:rPr>
                <w:sz w:val="17"/>
              </w:rPr>
              <w:t>"Is your relevance metric circular — you defined both the planner and what counts as relevant?"</w:t>
            </w:r>
          </w:p>
        </w:tc>
        <w:tc>
          <w:tcPr>
            <w:tcW w:type="dxa" w:w="6768"/>
          </w:tcPr>
          <w:p>
            <w:pPr>
              <w:spacing w:after="20"/>
            </w:pPr>
            <w:r/>
            <w:r>
              <w:rPr>
                <w:sz w:val="17"/>
              </w:rPr>
              <w:t xml:space="preserve">The relevance labels are in </w:t>
            </w:r>
            <w:r>
              <w:rPr>
                <w:rFonts w:ascii="Consolas" w:hAnsi="Consolas"/>
                <w:color w:val="9C5B5B"/>
                <w:sz w:val="15"/>
              </w:rPr>
              <w:t>evaluation/metrics.py</w:t>
            </w:r>
            <w:r>
              <w:rPr>
                <w:sz w:val="17"/>
              </w:rPr>
              <w:t xml:space="preserve"> and were defined per task type independently of the planner. That said, both were written by the same person, so the strongest version of the claim is that the metric is not derived from the planner's output — not that it is fully blind.</w:t>
            </w:r>
          </w:p>
        </w:tc>
      </w:tr>
      <w:tr>
        <w:tc>
          <w:tcPr>
            <w:tcW w:type="dxa" w:w="3312"/>
          </w:tcPr>
          <w:p>
            <w:pPr>
              <w:spacing w:after="20"/>
            </w:pPr>
            <w:r/>
            <w:r>
              <w:rPr>
                <w:sz w:val="17"/>
              </w:rPr>
              <w:t>"Precision 0.883 but recall only 0.634 — isn't that just running less?"</w:t>
            </w:r>
          </w:p>
        </w:tc>
        <w:tc>
          <w:tcPr>
            <w:tcW w:type="dxa" w:w="6768"/>
          </w:tcPr>
          <w:p>
            <w:pPr>
              <w:spacing w:after="20"/>
            </w:pPr>
            <w:r/>
            <w:r>
              <w:rPr>
                <w:sz w:val="17"/>
              </w:rPr>
              <w:t>Partly, and deliberately. The planner runs a focused subset rather than everything a task type could justify. The headroom below 1.000 recall is real and I would not claim otherwise. F1 is the figure that balances the two, and it is 0.732 against 0.458.</w:t>
            </w:r>
          </w:p>
        </w:tc>
      </w:tr>
      <w:tr>
        <w:tc>
          <w:tcPr>
            <w:tcW w:type="dxa" w:w="3312"/>
          </w:tcPr>
          <w:p>
            <w:pPr>
              <w:spacing w:after="20"/>
            </w:pPr>
            <w:r/>
            <w:r>
              <w:rPr>
                <w:sz w:val="17"/>
              </w:rPr>
              <w:t>"Why is this multi-agent? They are just classes in one process."</w:t>
            </w:r>
          </w:p>
        </w:tc>
        <w:tc>
          <w:tcPr>
            <w:tcW w:type="dxa" w:w="6768"/>
          </w:tcPr>
          <w:p>
            <w:pPr>
              <w:spacing w:after="20"/>
            </w:pPr>
            <w:r/>
            <w:r>
              <w:rPr>
                <w:sz w:val="17"/>
              </w:rPr>
              <w:t>Correct — "multi-agent" describes the coordination model, not the deployment. Each agent has one responsibility and no knowledge of the others; only the orchestrator composes them. Network boundaries would have added deployment cost without changing the research result.</w:t>
            </w:r>
          </w:p>
        </w:tc>
      </w:tr>
      <w:tr>
        <w:tc>
          <w:tcPr>
            <w:tcW w:type="dxa" w:w="3312"/>
          </w:tcPr>
          <w:p>
            <w:pPr>
              <w:spacing w:after="20"/>
            </w:pPr>
            <w:r/>
            <w:r>
              <w:rPr>
                <w:sz w:val="17"/>
              </w:rPr>
              <w:t>"How do you know the LLM hallucinates and RAG does not?"</w:t>
            </w:r>
          </w:p>
        </w:tc>
        <w:tc>
          <w:tcPr>
            <w:tcW w:type="dxa" w:w="6768"/>
          </w:tcPr>
          <w:p>
            <w:pPr>
              <w:spacing w:after="20"/>
            </w:pPr>
            <w:r/>
            <w:r>
              <w:rPr>
                <w:sz w:val="17"/>
              </w:rPr>
              <w:t>I would not put it that strongly. What I measured is citation coverage of 1.000 on the grounded path — every recommendation traces to a source document. In a live probe on an unanswerable question, Gemini declined honestly rather than fabricating. The grounded path's advantage is verifiability, not the other one being reliably wrong.</w:t>
            </w:r>
          </w:p>
        </w:tc>
      </w:tr>
      <w:tr>
        <w:tc>
          <w:tcPr>
            <w:tcW w:type="dxa" w:w="3312"/>
          </w:tcPr>
          <w:p>
            <w:pPr>
              <w:spacing w:after="20"/>
            </w:pPr>
            <w:r/>
            <w:r>
              <w:rPr>
                <w:sz w:val="17"/>
              </w:rPr>
              <w:t>"Your comparison isn't clean — the RAG path has extra deterministic handlers."</w:t>
            </w:r>
          </w:p>
        </w:tc>
        <w:tc>
          <w:tcPr>
            <w:tcW w:type="dxa" w:w="6768"/>
          </w:tcPr>
          <w:p>
            <w:pPr>
              <w:spacing w:after="20"/>
            </w:pPr>
            <w:r/>
            <w:r>
              <w:rPr>
                <w:sz w:val="17"/>
              </w:rPr>
              <w:t xml:space="preserve">That is a fair criticism and I would concede it. </w:t>
            </w:r>
            <w:r>
              <w:rPr>
                <w:rFonts w:ascii="Consolas" w:hAnsi="Consolas"/>
                <w:color w:val="9C5B5B"/>
                <w:sz w:val="15"/>
              </w:rPr>
              <w:t>QAAgent</w:t>
            </w:r>
            <w:r>
              <w:rPr>
                <w:sz w:val="17"/>
              </w:rPr>
              <w:t xml:space="preserve"> computes statistics directly and there is a row-lookup handler with no LLM-side equivalent. The honest framing is that MAGE is a grounded system of which retrieval is one component, and the comparison measures the system, not retrieval in isolation.</w:t>
            </w:r>
          </w:p>
        </w:tc>
      </w:tr>
      <w:tr>
        <w:tc>
          <w:tcPr>
            <w:tcW w:type="dxa" w:w="3312"/>
          </w:tcPr>
          <w:p>
            <w:pPr>
              <w:spacing w:after="20"/>
            </w:pPr>
            <w:r/>
            <w:r>
              <w:rPr>
                <w:sz w:val="17"/>
              </w:rPr>
              <w:t>"What happens if the Gemini API key is missing?"</w:t>
            </w:r>
          </w:p>
        </w:tc>
        <w:tc>
          <w:tcPr>
            <w:tcW w:type="dxa" w:w="6768"/>
          </w:tcPr>
          <w:p>
            <w:pPr>
              <w:spacing w:after="20"/>
            </w:pPr>
            <w:r/>
            <w:r>
              <w:rPr>
                <w:sz w:val="17"/>
              </w:rPr>
              <w:t>The grounded path is unaffected — embeddings run locally on CPU. LLM mode degrades gracefully and there is a test for it. That independence was a design requirement, not a happy accident.</w:t>
            </w:r>
          </w:p>
        </w:tc>
      </w:tr>
      <w:tr>
        <w:tc>
          <w:tcPr>
            <w:tcW w:type="dxa" w:w="3312"/>
          </w:tcPr>
          <w:p>
            <w:pPr>
              <w:spacing w:after="20"/>
            </w:pPr>
            <w:r/>
            <w:r>
              <w:rPr>
                <w:sz w:val="17"/>
              </w:rPr>
              <w:t>"How is the SQL console not an injection risk?"</w:t>
            </w:r>
          </w:p>
        </w:tc>
        <w:tc>
          <w:tcPr>
            <w:tcW w:type="dxa" w:w="6768"/>
          </w:tcPr>
          <w:p>
            <w:pPr>
              <w:spacing w:after="20"/>
            </w:pPr>
            <w:r/>
            <w:r>
              <w:rPr>
                <w:sz w:val="17"/>
              </w:rPr>
              <w:t>It executes through DuckDB against an in-memory DataFrame, not against Postgres. There is no path from the query console to the application database.</w:t>
            </w:r>
          </w:p>
        </w:tc>
      </w:tr>
      <w:tr>
        <w:tc>
          <w:tcPr>
            <w:tcW w:type="dxa" w:w="3312"/>
          </w:tcPr>
          <w:p>
            <w:pPr>
              <w:spacing w:after="20"/>
            </w:pPr>
            <w:r/>
            <w:r>
              <w:rPr>
                <w:sz w:val="17"/>
              </w:rPr>
              <w:t>"Where are your tests and what do they not cover?"</w:t>
            </w:r>
          </w:p>
        </w:tc>
        <w:tc>
          <w:tcPr>
            <w:tcW w:type="dxa" w:w="6768"/>
          </w:tcPr>
          <w:p>
            <w:pPr>
              <w:spacing w:after="20"/>
            </w:pPr>
            <w:r/>
            <w:r>
              <w:rPr>
                <w:sz w:val="17"/>
              </w:rPr>
              <w:t xml:space="preserve">1008 passing across </w:t>
            </w:r>
            <w:r>
              <w:rPr>
                <w:rFonts w:ascii="Consolas" w:hAnsi="Consolas"/>
                <w:color w:val="9C5B5B"/>
                <w:sz w:val="15"/>
              </w:rPr>
              <w:t>tests/agents</w:t>
            </w:r>
            <w:r>
              <w:rPr>
                <w:sz w:val="17"/>
              </w:rPr>
              <w:t xml:space="preserve">, </w:t>
            </w:r>
            <w:r>
              <w:rPr>
                <w:rFonts w:ascii="Consolas" w:hAnsi="Consolas"/>
                <w:color w:val="9C5B5B"/>
                <w:sz w:val="15"/>
              </w:rPr>
              <w:t>tests/backend</w:t>
            </w:r>
            <w:r>
              <w:rPr>
                <w:sz w:val="17"/>
              </w:rPr>
              <w:t xml:space="preserve">, </w:t>
            </w:r>
            <w:r>
              <w:rPr>
                <w:rFonts w:ascii="Consolas" w:hAnsi="Consolas"/>
                <w:color w:val="9C5B5B"/>
                <w:sz w:val="15"/>
              </w:rPr>
              <w:t>tests/rag</w:t>
            </w:r>
            <w:r>
              <w:rPr>
                <w:sz w:val="17"/>
              </w:rPr>
              <w:t xml:space="preserve">, </w:t>
            </w:r>
            <w:r>
              <w:rPr>
                <w:rFonts w:ascii="Consolas" w:hAnsi="Consolas"/>
                <w:color w:val="9C5B5B"/>
                <w:sz w:val="15"/>
              </w:rPr>
              <w:t>tests/data_pipeline</w:t>
            </w:r>
            <w:r>
              <w:rPr>
                <w:sz w:val="17"/>
              </w:rPr>
              <w:t xml:space="preserve">, </w:t>
            </w:r>
            <w:r>
              <w:rPr>
                <w:rFonts w:ascii="Consolas" w:hAnsi="Consolas"/>
                <w:color w:val="9C5B5B"/>
                <w:sz w:val="15"/>
              </w:rPr>
              <w:t>tests/evaluation</w:t>
            </w:r>
            <w:r>
              <w:rPr>
                <w:sz w:val="17"/>
              </w:rPr>
              <w:t>. The gap is the frontend: there is no test framework there, only strict TypeScript and lint. And there is no CI, so all of it runs manually.</w:t>
            </w:r>
          </w:p>
        </w:tc>
      </w:tr>
      <w:tr>
        <w:tc>
          <w:tcPr>
            <w:tcW w:type="dxa" w:w="3312"/>
          </w:tcPr>
          <w:p>
            <w:pPr>
              <w:spacing w:after="20"/>
            </w:pPr>
            <w:r/>
            <w:r>
              <w:rPr>
                <w:sz w:val="17"/>
              </w:rPr>
              <w:t xml:space="preserve">"Why is </w:t>
            </w:r>
            <w:r>
              <w:rPr>
                <w:rFonts w:ascii="Consolas" w:hAnsi="Consolas"/>
                <w:color w:val="9C5B5B"/>
                <w:sz w:val="15"/>
              </w:rPr>
              <w:t>broad_fill</w:t>
            </w:r>
            <w:r>
              <w:rPr>
                <w:sz w:val="17"/>
              </w:rPr>
              <w:t xml:space="preserve"> disabled for follow-ups?"</w:t>
            </w:r>
          </w:p>
        </w:tc>
        <w:tc>
          <w:tcPr>
            <w:tcW w:type="dxa" w:w="6768"/>
          </w:tcPr>
          <w:p>
            <w:pPr>
              <w:spacing w:after="20"/>
            </w:pPr>
            <w:r/>
            <w:r>
              <w:rPr>
                <w:sz w:val="17"/>
              </w:rPr>
              <w:t>Because with it on, an unanswerable question returned the nearest methodology document, which reads as an answer. Returning nothing is now a valid outcome and the UI explains why.</w:t>
            </w:r>
          </w:p>
        </w:tc>
      </w:tr>
    </w:tbl>
    <w:p>
      <w:pPr>
        <w:pStyle w:val="Heading1"/>
      </w:pPr>
      <w:r>
        <w:t>11.  Cheat sheet — one glance before you start</w:t>
      </w:r>
    </w:p>
    <w:tbl>
      <w:tblPr>
        <w:tblStyle w:val="TableGrid"/>
        <w:tblW w:type="auto" w:w="0"/>
        <w:jc w:val="center"/>
        <w:tblLook w:firstColumn="1" w:firstRow="1" w:lastColumn="0" w:lastRow="0" w:noHBand="0" w:noVBand="1" w:val="04A0"/>
      </w:tblPr>
      <w:tblGrid>
        <w:gridCol w:w="5040"/>
        <w:gridCol w:w="5040"/>
      </w:tblGrid>
      <w:tr>
        <w:tc>
          <w:tcPr>
            <w:tcW w:type="dxa" w:w="2736"/>
            <w:shd w:fill="1F2A44"/>
          </w:tcPr>
          <w:p>
            <w:pPr>
              <w:spacing w:after="20"/>
            </w:pPr>
            <w:r/>
            <w:r>
              <w:rPr>
                <w:b/>
                <w:color w:val="FFFFFF"/>
                <w:sz w:val="17"/>
              </w:rPr>
            </w:r>
          </w:p>
        </w:tc>
        <w:tc>
          <w:tcPr>
            <w:tcW w:type="dxa" w:w="7344"/>
            <w:shd w:fill="1F2A44"/>
          </w:tcPr>
          <w:p>
            <w:pPr>
              <w:spacing w:after="20"/>
            </w:pPr>
            <w:r/>
            <w:r>
              <w:rPr>
                <w:b/>
                <w:color w:val="FFFFFF"/>
                <w:sz w:val="17"/>
              </w:rPr>
            </w:r>
          </w:p>
        </w:tc>
      </w:tr>
      <w:tr>
        <w:tc>
          <w:tcPr>
            <w:tcW w:type="dxa" w:w="2736"/>
          </w:tcPr>
          <w:p>
            <w:pPr>
              <w:spacing w:after="20"/>
            </w:pPr>
            <w:r/>
            <w:r>
              <w:rPr>
                <w:sz w:val="17"/>
              </w:rPr>
              <w:t>The claim in one sentence</w:t>
            </w:r>
          </w:p>
        </w:tc>
        <w:tc>
          <w:tcPr>
            <w:tcW w:type="dxa" w:w="7344"/>
          </w:tcPr>
          <w:p>
            <w:pPr>
              <w:spacing w:after="20"/>
            </w:pPr>
            <w:r/>
            <w:r>
              <w:rPr>
                <w:sz w:val="17"/>
              </w:rPr>
              <w:t>The goal decides which computations run, not just which results display.</w:t>
            </w:r>
          </w:p>
        </w:tc>
      </w:tr>
      <w:tr>
        <w:tc>
          <w:tcPr>
            <w:tcW w:type="dxa" w:w="2736"/>
          </w:tcPr>
          <w:p>
            <w:pPr>
              <w:spacing w:after="20"/>
            </w:pPr>
            <w:r/>
            <w:r>
              <w:rPr>
                <w:sz w:val="17"/>
              </w:rPr>
              <w:t>The proof in one number</w:t>
            </w:r>
          </w:p>
        </w:tc>
        <w:tc>
          <w:tcPr>
            <w:tcW w:type="dxa" w:w="7344"/>
          </w:tcPr>
          <w:p>
            <w:pPr>
              <w:spacing w:after="20"/>
            </w:pPr>
            <w:r/>
            <w:r>
              <w:rPr>
                <w:sz w:val="17"/>
              </w:rPr>
              <w:t>Computation divergence 0.836 vs the baseline's 0.000.</w:t>
            </w:r>
          </w:p>
        </w:tc>
      </w:tr>
      <w:tr>
        <w:tc>
          <w:tcPr>
            <w:tcW w:type="dxa" w:w="2736"/>
          </w:tcPr>
          <w:p>
            <w:pPr>
              <w:spacing w:after="20"/>
            </w:pPr>
            <w:r/>
            <w:r>
              <w:rPr>
                <w:sz w:val="17"/>
              </w:rPr>
              <w:t>The five task types</w:t>
            </w:r>
          </w:p>
        </w:tc>
        <w:tc>
          <w:tcPr>
            <w:tcW w:type="dxa" w:w="7344"/>
          </w:tcPr>
          <w:p>
            <w:pPr>
              <w:spacing w:after="20"/>
            </w:pPr>
            <w:r/>
            <w:r>
              <w:rPr>
                <w:sz w:val="17"/>
              </w:rPr>
              <w:t>classification · regression · clustering · anomaly_detection · reporting</w:t>
            </w:r>
          </w:p>
        </w:tc>
      </w:tr>
      <w:tr>
        <w:tc>
          <w:tcPr>
            <w:tcW w:type="dxa" w:w="2736"/>
          </w:tcPr>
          <w:p>
            <w:pPr>
              <w:spacing w:after="20"/>
            </w:pPr>
            <w:r/>
            <w:r>
              <w:rPr>
                <w:sz w:val="17"/>
              </w:rPr>
              <w:t>Step cap</w:t>
            </w:r>
          </w:p>
        </w:tc>
        <w:tc>
          <w:tcPr>
            <w:tcW w:type="dxa" w:w="7344"/>
          </w:tcPr>
          <w:p>
            <w:pPr>
              <w:spacing w:after="20"/>
            </w:pPr>
            <w:r/>
            <w:r>
              <w:rPr>
                <w:rFonts w:ascii="Consolas" w:hAnsi="Consolas"/>
                <w:color w:val="9C5B5B"/>
                <w:sz w:val="15"/>
              </w:rPr>
              <w:t>MAX_REACT_STEPS = 10</w:t>
            </w:r>
            <w:r>
              <w:rPr>
                <w:sz w:val="17"/>
              </w:rPr>
              <w:t>; a normal run is 4–7 steps</w:t>
            </w:r>
          </w:p>
        </w:tc>
      </w:tr>
      <w:tr>
        <w:tc>
          <w:tcPr>
            <w:tcW w:type="dxa" w:w="2736"/>
          </w:tcPr>
          <w:p>
            <w:pPr>
              <w:spacing w:after="20"/>
            </w:pPr>
            <w:r/>
            <w:r>
              <w:rPr>
                <w:sz w:val="17"/>
              </w:rPr>
              <w:t>Reflection trigger</w:t>
            </w:r>
          </w:p>
        </w:tc>
        <w:tc>
          <w:tcPr>
            <w:tcW w:type="dxa" w:w="7344"/>
          </w:tcPr>
          <w:p>
            <w:pPr>
              <w:spacing w:after="20"/>
            </w:pPr>
            <w:r/>
            <w:r>
              <w:rPr>
                <w:sz w:val="17"/>
              </w:rPr>
              <w:t xml:space="preserve">silhouette &lt; </w:t>
            </w:r>
            <w:r>
              <w:rPr>
                <w:rFonts w:ascii="Consolas" w:hAnsi="Consolas"/>
                <w:color w:val="9C5B5B"/>
                <w:sz w:val="15"/>
              </w:rPr>
              <w:t>0.35</w:t>
            </w:r>
            <w:r>
              <w:rPr>
                <w:sz w:val="17"/>
              </w:rPr>
              <w:t xml:space="preserve"> ⇒ reconsider KMeans in favour of DBSCAN</w:t>
            </w:r>
          </w:p>
        </w:tc>
      </w:tr>
      <w:tr>
        <w:tc>
          <w:tcPr>
            <w:tcW w:type="dxa" w:w="2736"/>
          </w:tcPr>
          <w:p>
            <w:pPr>
              <w:spacing w:after="20"/>
            </w:pPr>
            <w:r/>
            <w:r>
              <w:rPr>
                <w:sz w:val="17"/>
              </w:rPr>
              <w:t>Retrieval floors</w:t>
            </w:r>
          </w:p>
        </w:tc>
        <w:tc>
          <w:tcPr>
            <w:tcW w:type="dxa" w:w="7344"/>
          </w:tcPr>
          <w:p>
            <w:pPr>
              <w:spacing w:after="20"/>
            </w:pPr>
            <w:r/>
            <w:r>
              <w:rPr>
                <w:rFonts w:ascii="Consolas" w:hAnsi="Consolas"/>
                <w:color w:val="9C5B5B"/>
                <w:sz w:val="15"/>
              </w:rPr>
              <w:t>GOAL_LED_MIN_CONFIDENCE = 0.30</w:t>
            </w:r>
            <w:r>
              <w:rPr>
                <w:sz w:val="17"/>
              </w:rPr>
              <w:t xml:space="preserve"> · </w:t>
            </w:r>
            <w:r>
              <w:rPr>
                <w:rFonts w:ascii="Consolas" w:hAnsi="Consolas"/>
                <w:color w:val="9C5B5B"/>
                <w:sz w:val="15"/>
              </w:rPr>
              <w:t>PATTERN_RELEVANCE_FLOOR = 0.20</w:t>
            </w:r>
            <w:r>
              <w:rPr>
                <w:sz w:val="17"/>
              </w:rPr>
              <w:t xml:space="preserve"> — both measured</w:t>
            </w:r>
          </w:p>
        </w:tc>
      </w:tr>
      <w:tr>
        <w:tc>
          <w:tcPr>
            <w:tcW w:type="dxa" w:w="2736"/>
          </w:tcPr>
          <w:p>
            <w:pPr>
              <w:spacing w:after="20"/>
            </w:pPr>
            <w:r/>
            <w:r>
              <w:rPr>
                <w:sz w:val="17"/>
              </w:rPr>
              <w:t>Tests</w:t>
            </w:r>
          </w:p>
        </w:tc>
        <w:tc>
          <w:tcPr>
            <w:tcW w:type="dxa" w:w="7344"/>
          </w:tcPr>
          <w:p>
            <w:pPr>
              <w:spacing w:after="20"/>
            </w:pPr>
            <w:r/>
            <w:r>
              <w:rPr>
                <w:sz w:val="17"/>
              </w:rPr>
              <w:t>1008 passed, 1 skipped, 0 failures</w:t>
            </w:r>
          </w:p>
        </w:tc>
      </w:tr>
      <w:tr>
        <w:tc>
          <w:tcPr>
            <w:tcW w:type="dxa" w:w="2736"/>
          </w:tcPr>
          <w:p>
            <w:pPr>
              <w:spacing w:after="20"/>
            </w:pPr>
            <w:r/>
            <w:r>
              <w:rPr>
                <w:sz w:val="17"/>
              </w:rPr>
              <w:t>Ports</w:t>
            </w:r>
          </w:p>
        </w:tc>
        <w:tc>
          <w:tcPr>
            <w:tcW w:type="dxa" w:w="7344"/>
          </w:tcPr>
          <w:p>
            <w:pPr>
              <w:spacing w:after="20"/>
            </w:pPr>
            <w:r/>
            <w:r>
              <w:rPr>
                <w:sz w:val="17"/>
              </w:rPr>
              <w:t xml:space="preserve">frontend </w:t>
            </w:r>
            <w:r>
              <w:rPr>
                <w:rFonts w:ascii="Consolas" w:hAnsi="Consolas"/>
                <w:color w:val="9C5B5B"/>
                <w:sz w:val="15"/>
              </w:rPr>
              <w:t>:3000</w:t>
            </w:r>
            <w:r>
              <w:rPr>
                <w:sz w:val="17"/>
              </w:rPr>
              <w:t xml:space="preserve"> · backend </w:t>
            </w:r>
            <w:r>
              <w:rPr>
                <w:rFonts w:ascii="Consolas" w:hAnsi="Consolas"/>
                <w:color w:val="9C5B5B"/>
                <w:sz w:val="15"/>
              </w:rPr>
              <w:t>:8000</w:t>
            </w:r>
            <w:r>
              <w:rPr>
                <w:sz w:val="17"/>
              </w:rPr>
              <w:t xml:space="preserve"> (docs at </w:t>
            </w:r>
            <w:r>
              <w:rPr>
                <w:rFonts w:ascii="Consolas" w:hAnsi="Consolas"/>
                <w:color w:val="9C5B5B"/>
                <w:sz w:val="15"/>
              </w:rPr>
              <w:t>/docs</w:t>
            </w:r>
            <w:r>
              <w:rPr>
                <w:sz w:val="17"/>
              </w:rPr>
              <w:t xml:space="preserve">) · postgres </w:t>
            </w:r>
            <w:r>
              <w:rPr>
                <w:rFonts w:ascii="Consolas" w:hAnsi="Consolas"/>
                <w:color w:val="9C5B5B"/>
                <w:sz w:val="15"/>
              </w:rPr>
              <w:t>:5432</w:t>
            </w:r>
          </w:p>
        </w:tc>
      </w:tr>
      <w:tr>
        <w:tc>
          <w:tcPr>
            <w:tcW w:type="dxa" w:w="2736"/>
          </w:tcPr>
          <w:p>
            <w:pPr>
              <w:spacing w:after="20"/>
            </w:pPr>
            <w:r/>
            <w:r>
              <w:rPr>
                <w:sz w:val="17"/>
              </w:rPr>
              <w:t>Weakest point</w:t>
            </w:r>
          </w:p>
        </w:tc>
        <w:tc>
          <w:tcPr>
            <w:tcW w:type="dxa" w:w="7344"/>
          </w:tcPr>
          <w:p>
            <w:pPr>
              <w:spacing w:after="20"/>
            </w:pPr>
            <w:r/>
            <w:r>
              <w:rPr>
                <w:sz w:val="17"/>
              </w:rPr>
              <w:t>The RAG-vs-LLM confound. Raise it before they do.</w:t>
            </w:r>
          </w:p>
        </w:tc>
      </w:tr>
      <w:tr>
        <w:tc>
          <w:tcPr>
            <w:tcW w:type="dxa" w:w="2736"/>
          </w:tcPr>
          <w:p>
            <w:pPr>
              <w:spacing w:after="20"/>
            </w:pPr>
            <w:r/>
            <w:r>
              <w:rPr>
                <w:sz w:val="17"/>
              </w:rPr>
              <w:t>If the demo breaks</w:t>
            </w:r>
          </w:p>
        </w:tc>
        <w:tc>
          <w:tcPr>
            <w:tcW w:type="dxa" w:w="7344"/>
          </w:tcPr>
          <w:p>
            <w:pPr>
              <w:spacing w:after="20"/>
            </w:pPr>
            <w:r/>
            <w:r>
              <w:rPr>
                <w:sz w:val="17"/>
              </w:rPr>
              <w:t xml:space="preserve">Check </w:t>
            </w:r>
            <w:r>
              <w:rPr>
                <w:rFonts w:ascii="Consolas" w:hAnsi="Consolas"/>
                <w:color w:val="9C5B5B"/>
                <w:sz w:val="15"/>
              </w:rPr>
              <w:t>docker compose ps</w:t>
            </w:r>
            <w:r>
              <w:rPr>
                <w:sz w:val="17"/>
              </w:rPr>
              <w:t xml:space="preserve"> first. Fall back to </w:t>
            </w:r>
            <w:r>
              <w:rPr>
                <w:rFonts w:ascii="Consolas" w:hAnsi="Consolas"/>
                <w:color w:val="9C5B5B"/>
                <w:sz w:val="15"/>
              </w:rPr>
              <w:t>evaluation/results.md</w:t>
            </w:r>
            <w:r>
              <w:rPr>
                <w:sz w:val="17"/>
              </w:rPr>
              <w:t xml:space="preserve"> and the agent trail in a saved run.</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D88"/>
        <w:sz w:val="15"/>
      </w:rPr>
      <w:t xml:space="preserve">MAGE — Presentation &amp; Demo Guide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Calibri" w:hAnsi="Calibri"/>
      <w:b/>
      <w:bCs/>
      <w:color w:val="1F2A44"/>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9C5B5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