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08E75" w14:textId="77777777" w:rsidR="00B0508E" w:rsidRDefault="00A72CE2">
      <w:pPr>
        <w:jc w:val="center"/>
        <w:rPr>
          <w:rFonts w:ascii="Cambria" w:eastAsia="Cambria" w:hAnsi="Cambria" w:cs="Cambria"/>
          <w:b/>
          <w:bCs/>
          <w:color w:val="000000"/>
          <w:sz w:val="32"/>
          <w:szCs w:val="32"/>
        </w:rPr>
      </w:pPr>
      <w:r>
        <w:rPr>
          <w:rFonts w:ascii="Cambria" w:eastAsia="Cambria" w:hAnsi="Cambria" w:cs="Cambria"/>
          <w:b/>
          <w:bCs/>
          <w:color w:val="000000"/>
          <w:sz w:val="32"/>
          <w:szCs w:val="32"/>
        </w:rPr>
        <w:t>Report</w:t>
      </w:r>
    </w:p>
    <w:p w14:paraId="2E460CE0" w14:textId="77777777" w:rsidR="00B0508E" w:rsidRDefault="00B0508E">
      <w:pPr>
        <w:spacing w:after="0"/>
        <w:jc w:val="center"/>
        <w:rPr>
          <w:rFonts w:ascii="Arial" w:eastAsia="Arial" w:hAnsi="Arial" w:cs="Arial"/>
          <w:b/>
          <w:bCs/>
        </w:rPr>
      </w:pPr>
    </w:p>
    <w:tbl>
      <w:tblPr>
        <w:tblStyle w:val="a0"/>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B0508E" w14:paraId="3FC5ACE1" w14:textId="77777777">
        <w:trPr>
          <w:cantSplit/>
          <w:tblHeader/>
          <w:jc w:val="center"/>
        </w:trPr>
        <w:tc>
          <w:tcPr>
            <w:tcW w:w="4508" w:type="dxa"/>
          </w:tcPr>
          <w:p w14:paraId="5068B634" w14:textId="77777777" w:rsidR="00B0508E" w:rsidRDefault="00A72CE2">
            <w:pPr>
              <w:rPr>
                <w:rFonts w:ascii="Arial" w:eastAsia="Arial" w:hAnsi="Arial" w:cs="Arial"/>
              </w:rPr>
            </w:pPr>
            <w:r>
              <w:rPr>
                <w:rFonts w:ascii="Arial" w:eastAsia="Arial" w:hAnsi="Arial" w:cs="Arial"/>
              </w:rPr>
              <w:t>Team ID</w:t>
            </w:r>
          </w:p>
        </w:tc>
        <w:tc>
          <w:tcPr>
            <w:tcW w:w="4843" w:type="dxa"/>
          </w:tcPr>
          <w:p w14:paraId="5C22D802" w14:textId="77777777" w:rsidR="00B0508E" w:rsidRDefault="00A04D67" w:rsidP="002A103C">
            <w:pPr>
              <w:rPr>
                <w:rFonts w:ascii="Arial" w:eastAsia="Arial" w:hAnsi="Arial" w:cs="Arial"/>
              </w:rPr>
            </w:pPr>
            <w:r>
              <w:rPr>
                <w:rFonts w:ascii="Arial" w:eastAsia="Arial" w:hAnsi="Arial" w:cs="Arial"/>
              </w:rPr>
              <w:t>M</w:t>
            </w:r>
            <w:r w:rsidR="002A103C">
              <w:rPr>
                <w:rFonts w:ascii="Arial" w:eastAsia="Arial" w:hAnsi="Arial" w:cs="Arial"/>
              </w:rPr>
              <w:t>CA</w:t>
            </w:r>
          </w:p>
        </w:tc>
      </w:tr>
      <w:tr w:rsidR="00B0508E" w14:paraId="6C5D7328" w14:textId="77777777">
        <w:trPr>
          <w:cantSplit/>
          <w:tblHeader/>
          <w:jc w:val="center"/>
        </w:trPr>
        <w:tc>
          <w:tcPr>
            <w:tcW w:w="4508" w:type="dxa"/>
          </w:tcPr>
          <w:p w14:paraId="1D85F9A6" w14:textId="77777777" w:rsidR="00B0508E" w:rsidRDefault="00A72CE2">
            <w:pPr>
              <w:rPr>
                <w:rFonts w:ascii="Arial" w:eastAsia="Arial" w:hAnsi="Arial" w:cs="Arial"/>
              </w:rPr>
            </w:pPr>
            <w:r>
              <w:rPr>
                <w:rFonts w:ascii="Arial" w:eastAsia="Arial" w:hAnsi="Arial" w:cs="Arial"/>
              </w:rPr>
              <w:t>Project Name</w:t>
            </w:r>
          </w:p>
        </w:tc>
        <w:tc>
          <w:tcPr>
            <w:tcW w:w="4843" w:type="dxa"/>
          </w:tcPr>
          <w:p w14:paraId="37C71AD7" w14:textId="77777777" w:rsidR="00B0508E" w:rsidRDefault="00A72CE2">
            <w:pPr>
              <w:rPr>
                <w:rFonts w:ascii="Arial" w:eastAsia="Arial" w:hAnsi="Arial" w:cs="Arial"/>
              </w:rPr>
            </w:pPr>
            <w:r>
              <w:rPr>
                <w:rFonts w:ascii="Arial" w:eastAsia="Arial" w:hAnsi="Arial" w:cs="Arial"/>
              </w:rPr>
              <w:t>Online Learning Engagement and Student Performance Analysis</w:t>
            </w:r>
          </w:p>
        </w:tc>
      </w:tr>
    </w:tbl>
    <w:p w14:paraId="5817C98E" w14:textId="77777777" w:rsidR="00B0508E" w:rsidRDefault="00B0508E">
      <w:pPr>
        <w:rPr>
          <w:rFonts w:ascii="Cambria" w:eastAsia="Cambria" w:hAnsi="Cambria" w:cs="Cambria"/>
          <w:color w:val="000000"/>
          <w:sz w:val="24"/>
          <w:szCs w:val="24"/>
          <w:highlight w:val="white"/>
        </w:rPr>
      </w:pPr>
    </w:p>
    <w:p w14:paraId="239C2886" w14:textId="77777777" w:rsidR="00B0508E" w:rsidRDefault="00A72CE2">
      <w:pPr>
        <w:spacing w:before="280" w:after="280" w:line="240" w:lineRule="auto"/>
        <w:ind w:left="284"/>
        <w:jc w:val="both"/>
      </w:pPr>
      <w:r>
        <w:t>This report presents an analysis of student engagement and academic performance in an online learning programme covering 22,422 students across 13 regions of the UK and Ireland. It examines how students interact with the platform (total clicks and engagement level), how they perform (average score and final result), and which learners are most at risk of failing or dropping out. The findings are intended for course designers, academic leaders and student-support teams who need to identify where early intervention can improve completion and success rates.</w:t>
      </w:r>
    </w:p>
    <w:p w14:paraId="38CB71A6" w14:textId="77777777" w:rsidR="00B0508E" w:rsidRDefault="00A72CE2">
      <w:pPr>
        <w:spacing w:before="280" w:after="280" w:line="240" w:lineRule="auto"/>
        <w:ind w:left="284"/>
        <w:jc w:val="both"/>
      </w:pPr>
      <w:r>
        <w:t>The report was designed in Power BI and is organised into two interactive dashboards. The first, Student Performance &amp; Engagement Overview, covers average score by region, students by engagement level and final result, total clicks by engagement level, and a decomposition tree that drills from risk level to education, gender and region. The second, Risk, Dropout &amp; Demographic Analysis, covers dropout rate and pass rate by highest education, students by risk level, final result by gender, and a decomposition tree linking engagement level to final result.</w:t>
      </w:r>
    </w:p>
    <w:p w14:paraId="6FD3C664" w14:textId="77777777" w:rsidR="00B0508E" w:rsidRDefault="00A72CE2">
      <w:pPr>
        <w:keepNext/>
        <w:spacing w:before="280"/>
        <w:rPr>
          <w:rFonts w:ascii="Arial" w:eastAsia="Arial" w:hAnsi="Arial" w:cs="Arial"/>
          <w:sz w:val="24"/>
        </w:rPr>
      </w:pPr>
      <w:r>
        <w:rPr>
          <w:rFonts w:ascii="Arial" w:eastAsia="Arial" w:hAnsi="Arial" w:cs="Arial"/>
          <w:b/>
          <w:bCs/>
          <w:color w:val="4472C4"/>
          <w:sz w:val="24"/>
          <w:szCs w:val="24"/>
        </w:rPr>
        <w:t>Dashboard 1: Student Performance &amp; Engagement Overview</w:t>
      </w:r>
    </w:p>
    <w:p w14:paraId="2A6EE968" w14:textId="77777777" w:rsidR="00B0508E" w:rsidRDefault="00A72CE2">
      <w:pPr>
        <w:keepNext/>
        <w:spacing w:before="60" w:after="0"/>
        <w:jc w:val="center"/>
      </w:pPr>
      <w:r>
        <w:rPr>
          <w:noProof/>
          <w:lang w:val="en-US"/>
        </w:rPr>
        <w:drawing>
          <wp:inline distT="0" distB="0" distL="0" distR="0" wp14:anchorId="01BEE108" wp14:editId="12CBA136">
            <wp:extent cx="5246455" cy="2719013"/>
            <wp:effectExtent l="19050" t="19050" r="11345" b="24187"/>
            <wp:docPr id="324832102" name="Dashboard 1 - Student Performance and Engagement Overview" descr="Dashboard 1 - Student Performance and Engagement Overview"/>
            <wp:cNvGraphicFramePr/>
            <a:graphic xmlns:a="http://schemas.openxmlformats.org/drawingml/2006/main">
              <a:graphicData uri="http://schemas.openxmlformats.org/drawingml/2006/picture">
                <pic:pic xmlns:pic="http://schemas.openxmlformats.org/drawingml/2006/picture">
                  <pic:nvPicPr>
                    <pic:cNvPr id="0" name="Dashboard 1 - Student Performance and Engagement Overview"/>
                    <pic:cNvPicPr preferRelativeResize="0"/>
                  </pic:nvPicPr>
                  <pic:blipFill>
                    <a:blip r:embed="rId6" cstate="print"/>
                    <a:stretch>
                      <a:fillRect/>
                    </a:stretch>
                  </pic:blipFill>
                  <pic:spPr>
                    <a:xfrm>
                      <a:off x="0" y="0"/>
                      <a:ext cx="5248252" cy="2719945"/>
                    </a:xfrm>
                    <a:prstGeom prst="rect">
                      <a:avLst/>
                    </a:prstGeom>
                    <a:ln w="9525">
                      <a:solidFill>
                        <a:srgbClr val="BFBFBF"/>
                      </a:solidFill>
                    </a:ln>
                  </pic:spPr>
                </pic:pic>
              </a:graphicData>
            </a:graphic>
          </wp:inline>
        </w:drawing>
      </w:r>
    </w:p>
    <w:p w14:paraId="7BFD1704" w14:textId="77777777" w:rsidR="00B0508E" w:rsidRDefault="00A72CE2">
      <w:pPr>
        <w:spacing w:before="60" w:after="200"/>
        <w:jc w:val="center"/>
        <w:rPr>
          <w:rFonts w:ascii="Arial" w:eastAsia="Arial" w:hAnsi="Arial" w:cs="Arial"/>
          <w:sz w:val="18"/>
        </w:rPr>
      </w:pPr>
      <w:r>
        <w:rPr>
          <w:rFonts w:ascii="Arial" w:eastAsia="Arial" w:hAnsi="Arial" w:cs="Arial"/>
          <w:i/>
          <w:iCs/>
          <w:color w:val="595959"/>
          <w:sz w:val="18"/>
          <w:szCs w:val="18"/>
        </w:rPr>
        <w:t>Figure 1: Global Online Learning – Student Performance &amp; Engagement Overview</w:t>
      </w:r>
    </w:p>
    <w:p w14:paraId="3768E54C" w14:textId="77777777" w:rsidR="00B0508E" w:rsidRDefault="00A72CE2">
      <w:pPr>
        <w:keepNext/>
        <w:spacing w:before="120"/>
        <w:rPr>
          <w:rFonts w:ascii="Arial" w:eastAsia="Arial" w:hAnsi="Arial" w:cs="Arial"/>
          <w:sz w:val="20"/>
        </w:rPr>
      </w:pPr>
      <w:r>
        <w:rPr>
          <w:rFonts w:ascii="Arial" w:eastAsia="Arial" w:hAnsi="Arial" w:cs="Arial"/>
          <w:color w:val="000000"/>
          <w:sz w:val="20"/>
          <w:szCs w:val="20"/>
        </w:rPr>
        <w:t>Observations drawn from this dashboard:</w:t>
      </w:r>
    </w:p>
    <w:p w14:paraId="4E315D5D"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1. Regional Performance</w:t>
      </w:r>
      <w:r>
        <w:rPr>
          <w:rFonts w:ascii="Arial" w:eastAsia="Arial" w:hAnsi="Arial" w:cs="Arial"/>
          <w:color w:val="000000"/>
          <w:sz w:val="20"/>
          <w:szCs w:val="20"/>
        </w:rPr>
        <w:t>:</w:t>
      </w:r>
    </w:p>
    <w:p w14:paraId="56D7A0EF"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Average scores are high and tightly clustered across all 13 regions, at roughly </w:t>
      </w:r>
      <w:r>
        <w:rPr>
          <w:rFonts w:ascii="Arial" w:eastAsia="Arial" w:hAnsi="Arial" w:cs="Arial"/>
          <w:b/>
          <w:bCs/>
          <w:color w:val="000000"/>
          <w:sz w:val="20"/>
          <w:szCs w:val="20"/>
        </w:rPr>
        <w:t>71–75</w:t>
      </w:r>
      <w:r>
        <w:rPr>
          <w:rFonts w:ascii="Arial" w:eastAsia="Arial" w:hAnsi="Arial" w:cs="Arial"/>
          <w:color w:val="000000"/>
          <w:sz w:val="20"/>
          <w:szCs w:val="20"/>
        </w:rPr>
        <w:t xml:space="preserve">. The </w:t>
      </w:r>
      <w:r>
        <w:rPr>
          <w:rFonts w:ascii="Arial" w:eastAsia="Arial" w:hAnsi="Arial" w:cs="Arial"/>
          <w:b/>
          <w:bCs/>
          <w:color w:val="000000"/>
          <w:sz w:val="20"/>
          <w:szCs w:val="20"/>
        </w:rPr>
        <w:t>South East Region</w:t>
      </w:r>
      <w:r>
        <w:rPr>
          <w:rFonts w:ascii="Arial" w:eastAsia="Arial" w:hAnsi="Arial" w:cs="Arial"/>
          <w:color w:val="000000"/>
          <w:sz w:val="20"/>
          <w:szCs w:val="20"/>
        </w:rPr>
        <w:t xml:space="preserve"> and </w:t>
      </w:r>
      <w:r>
        <w:rPr>
          <w:rFonts w:ascii="Arial" w:eastAsia="Arial" w:hAnsi="Arial" w:cs="Arial"/>
          <w:b/>
          <w:bCs/>
          <w:color w:val="000000"/>
          <w:sz w:val="20"/>
          <w:szCs w:val="20"/>
        </w:rPr>
        <w:t>Scotland</w:t>
      </w:r>
      <w:r>
        <w:rPr>
          <w:rFonts w:ascii="Arial" w:eastAsia="Arial" w:hAnsi="Arial" w:cs="Arial"/>
          <w:color w:val="000000"/>
          <w:sz w:val="20"/>
          <w:szCs w:val="20"/>
        </w:rPr>
        <w:t xml:space="preserve"> lead and the </w:t>
      </w:r>
      <w:r>
        <w:rPr>
          <w:rFonts w:ascii="Arial" w:eastAsia="Arial" w:hAnsi="Arial" w:cs="Arial"/>
          <w:b/>
          <w:bCs/>
          <w:color w:val="000000"/>
          <w:sz w:val="20"/>
          <w:szCs w:val="20"/>
        </w:rPr>
        <w:t>North Region</w:t>
      </w:r>
      <w:r>
        <w:rPr>
          <w:rFonts w:ascii="Arial" w:eastAsia="Arial" w:hAnsi="Arial" w:cs="Arial"/>
          <w:color w:val="000000"/>
          <w:sz w:val="20"/>
          <w:szCs w:val="20"/>
        </w:rPr>
        <w:t xml:space="preserve"> is lowest, so region does not appear to be a major driver of differences in performance.</w:t>
      </w:r>
    </w:p>
    <w:p w14:paraId="2945DD19"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lastRenderedPageBreak/>
        <w:t>2. Engagement Levels</w:t>
      </w:r>
      <w:r>
        <w:rPr>
          <w:rFonts w:ascii="Arial" w:eastAsia="Arial" w:hAnsi="Arial" w:cs="Arial"/>
          <w:color w:val="000000"/>
          <w:sz w:val="20"/>
          <w:szCs w:val="20"/>
        </w:rPr>
        <w:t>:</w:t>
      </w:r>
    </w:p>
    <w:p w14:paraId="783FCD9D"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Of </w:t>
      </w:r>
      <w:r>
        <w:rPr>
          <w:rFonts w:ascii="Arial" w:eastAsia="Arial" w:hAnsi="Arial" w:cs="Arial"/>
          <w:b/>
          <w:bCs/>
          <w:color w:val="000000"/>
          <w:sz w:val="20"/>
          <w:szCs w:val="20"/>
        </w:rPr>
        <w:t>22,422 students</w:t>
      </w:r>
      <w:r>
        <w:rPr>
          <w:rFonts w:ascii="Arial" w:eastAsia="Arial" w:hAnsi="Arial" w:cs="Arial"/>
          <w:color w:val="000000"/>
          <w:sz w:val="20"/>
          <w:szCs w:val="20"/>
        </w:rPr>
        <w:t xml:space="preserve">, </w:t>
      </w:r>
      <w:r>
        <w:rPr>
          <w:rFonts w:ascii="Arial" w:eastAsia="Arial" w:hAnsi="Arial" w:cs="Arial"/>
          <w:b/>
          <w:bCs/>
          <w:color w:val="000000"/>
          <w:sz w:val="20"/>
          <w:szCs w:val="20"/>
        </w:rPr>
        <w:t>8,400 (37.46%)</w:t>
      </w:r>
      <w:r>
        <w:rPr>
          <w:rFonts w:ascii="Arial" w:eastAsia="Arial" w:hAnsi="Arial" w:cs="Arial"/>
          <w:color w:val="000000"/>
          <w:sz w:val="20"/>
          <w:szCs w:val="20"/>
        </w:rPr>
        <w:t xml:space="preserve"> show Medium engagement, </w:t>
      </w:r>
      <w:r>
        <w:rPr>
          <w:rFonts w:ascii="Arial" w:eastAsia="Arial" w:hAnsi="Arial" w:cs="Arial"/>
          <w:b/>
          <w:bCs/>
          <w:color w:val="000000"/>
          <w:sz w:val="20"/>
          <w:szCs w:val="20"/>
        </w:rPr>
        <w:t>7,612 (33.95%)</w:t>
      </w:r>
      <w:r>
        <w:rPr>
          <w:rFonts w:ascii="Arial" w:eastAsia="Arial" w:hAnsi="Arial" w:cs="Arial"/>
          <w:color w:val="000000"/>
          <w:sz w:val="20"/>
          <w:szCs w:val="20"/>
        </w:rPr>
        <w:t xml:space="preserve"> High and </w:t>
      </w:r>
      <w:r>
        <w:rPr>
          <w:rFonts w:ascii="Arial" w:eastAsia="Arial" w:hAnsi="Arial" w:cs="Arial"/>
          <w:b/>
          <w:bCs/>
          <w:color w:val="000000"/>
          <w:sz w:val="20"/>
          <w:szCs w:val="20"/>
        </w:rPr>
        <w:t>6,410 (28.59%)</w:t>
      </w:r>
      <w:r>
        <w:rPr>
          <w:rFonts w:ascii="Arial" w:eastAsia="Arial" w:hAnsi="Arial" w:cs="Arial"/>
          <w:color w:val="000000"/>
          <w:sz w:val="20"/>
          <w:szCs w:val="20"/>
        </w:rPr>
        <w:t xml:space="preserve"> Low. About </w:t>
      </w:r>
      <w:r>
        <w:rPr>
          <w:rFonts w:ascii="Arial" w:eastAsia="Arial" w:hAnsi="Arial" w:cs="Arial"/>
          <w:b/>
          <w:bCs/>
          <w:color w:val="000000"/>
          <w:sz w:val="20"/>
          <w:szCs w:val="20"/>
        </w:rPr>
        <w:t>two-thirds</w:t>
      </w:r>
      <w:r>
        <w:rPr>
          <w:rFonts w:ascii="Arial" w:eastAsia="Arial" w:hAnsi="Arial" w:cs="Arial"/>
          <w:color w:val="000000"/>
          <w:sz w:val="20"/>
          <w:szCs w:val="20"/>
        </w:rPr>
        <w:t xml:space="preserve"> of learners are therefore at Medium or Low engagement.</w:t>
      </w:r>
    </w:p>
    <w:p w14:paraId="42BFEF74"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3. Platform Activity (Clicks)</w:t>
      </w:r>
      <w:r>
        <w:rPr>
          <w:rFonts w:ascii="Arial" w:eastAsia="Arial" w:hAnsi="Arial" w:cs="Arial"/>
          <w:color w:val="000000"/>
          <w:sz w:val="20"/>
          <w:szCs w:val="20"/>
        </w:rPr>
        <w:t>:</w:t>
      </w:r>
    </w:p>
    <w:p w14:paraId="585212E0"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High-engagement</w:t>
      </w:r>
      <w:r>
        <w:rPr>
          <w:rFonts w:ascii="Arial" w:eastAsia="Arial" w:hAnsi="Arial" w:cs="Arial"/>
          <w:color w:val="000000"/>
          <w:sz w:val="20"/>
          <w:szCs w:val="20"/>
        </w:rPr>
        <w:t xml:space="preserve"> students generate about </w:t>
      </w:r>
      <w:r>
        <w:rPr>
          <w:rFonts w:ascii="Arial" w:eastAsia="Arial" w:hAnsi="Arial" w:cs="Arial"/>
          <w:b/>
          <w:bCs/>
          <w:color w:val="000000"/>
          <w:sz w:val="20"/>
          <w:szCs w:val="20"/>
        </w:rPr>
        <w:t>32M clicks</w:t>
      </w:r>
      <w:r>
        <w:rPr>
          <w:rFonts w:ascii="Arial" w:eastAsia="Arial" w:hAnsi="Arial" w:cs="Arial"/>
          <w:color w:val="000000"/>
          <w:sz w:val="20"/>
          <w:szCs w:val="20"/>
        </w:rPr>
        <w:t xml:space="preserve">, compared with about </w:t>
      </w:r>
      <w:r>
        <w:rPr>
          <w:rFonts w:ascii="Arial" w:eastAsia="Arial" w:hAnsi="Arial" w:cs="Arial"/>
          <w:b/>
          <w:bCs/>
          <w:color w:val="000000"/>
          <w:sz w:val="20"/>
          <w:szCs w:val="20"/>
        </w:rPr>
        <w:t>9M</w:t>
      </w:r>
      <w:r>
        <w:rPr>
          <w:rFonts w:ascii="Arial" w:eastAsia="Arial" w:hAnsi="Arial" w:cs="Arial"/>
          <w:color w:val="000000"/>
          <w:sz w:val="20"/>
          <w:szCs w:val="20"/>
        </w:rPr>
        <w:t xml:space="preserve"> for Medium and </w:t>
      </w:r>
      <w:r>
        <w:rPr>
          <w:rFonts w:ascii="Arial" w:eastAsia="Arial" w:hAnsi="Arial" w:cs="Arial"/>
          <w:b/>
          <w:bCs/>
          <w:color w:val="000000"/>
          <w:sz w:val="20"/>
          <w:szCs w:val="20"/>
        </w:rPr>
        <w:t>2M</w:t>
      </w:r>
      <w:r>
        <w:rPr>
          <w:rFonts w:ascii="Arial" w:eastAsia="Arial" w:hAnsi="Arial" w:cs="Arial"/>
          <w:color w:val="000000"/>
          <w:sz w:val="20"/>
          <w:szCs w:val="20"/>
        </w:rPr>
        <w:t xml:space="preserve"> for Low. Roughly </w:t>
      </w:r>
      <w:r>
        <w:rPr>
          <w:rFonts w:ascii="Arial" w:eastAsia="Arial" w:hAnsi="Arial" w:cs="Arial"/>
          <w:b/>
          <w:bCs/>
          <w:color w:val="000000"/>
          <w:sz w:val="20"/>
          <w:szCs w:val="20"/>
        </w:rPr>
        <w:t>three-quarters</w:t>
      </w:r>
      <w:r>
        <w:rPr>
          <w:rFonts w:ascii="Arial" w:eastAsia="Arial" w:hAnsi="Arial" w:cs="Arial"/>
          <w:color w:val="000000"/>
          <w:sz w:val="20"/>
          <w:szCs w:val="20"/>
        </w:rPr>
        <w:t xml:space="preserve"> of all clicks come from about a third of the students, showing how concentrated learning activity is.</w:t>
      </w:r>
    </w:p>
    <w:p w14:paraId="5FAAFE21"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4. Final Results</w:t>
      </w:r>
      <w:r>
        <w:rPr>
          <w:rFonts w:ascii="Arial" w:eastAsia="Arial" w:hAnsi="Arial" w:cs="Arial"/>
          <w:color w:val="000000"/>
          <w:sz w:val="20"/>
          <w:szCs w:val="20"/>
        </w:rPr>
        <w:t>:</w:t>
      </w:r>
    </w:p>
    <w:p w14:paraId="3DE42143"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Pass</w:t>
      </w:r>
      <w:r>
        <w:rPr>
          <w:rFonts w:ascii="Arial" w:eastAsia="Arial" w:hAnsi="Arial" w:cs="Arial"/>
          <w:color w:val="000000"/>
          <w:sz w:val="20"/>
          <w:szCs w:val="20"/>
        </w:rPr>
        <w:t xml:space="preserve"> is the most common outcome (about </w:t>
      </w:r>
      <w:r>
        <w:rPr>
          <w:rFonts w:ascii="Arial" w:eastAsia="Arial" w:hAnsi="Arial" w:cs="Arial"/>
          <w:b/>
          <w:bCs/>
          <w:color w:val="000000"/>
          <w:sz w:val="20"/>
          <w:szCs w:val="20"/>
        </w:rPr>
        <w:t>11K</w:t>
      </w:r>
      <w:r>
        <w:rPr>
          <w:rFonts w:ascii="Arial" w:eastAsia="Arial" w:hAnsi="Arial" w:cs="Arial"/>
          <w:color w:val="000000"/>
          <w:sz w:val="20"/>
          <w:szCs w:val="20"/>
        </w:rPr>
        <w:t xml:space="preserve"> students), followed by </w:t>
      </w:r>
      <w:r>
        <w:rPr>
          <w:rFonts w:ascii="Arial" w:eastAsia="Arial" w:hAnsi="Arial" w:cs="Arial"/>
          <w:b/>
          <w:bCs/>
          <w:color w:val="000000"/>
          <w:sz w:val="20"/>
          <w:szCs w:val="20"/>
        </w:rPr>
        <w:t>Fail</w:t>
      </w:r>
      <w:r>
        <w:rPr>
          <w:rFonts w:ascii="Arial" w:eastAsia="Arial" w:hAnsi="Arial" w:cs="Arial"/>
          <w:color w:val="000000"/>
          <w:sz w:val="20"/>
          <w:szCs w:val="20"/>
        </w:rPr>
        <w:t xml:space="preserve"> (about </w:t>
      </w:r>
      <w:r>
        <w:rPr>
          <w:rFonts w:ascii="Arial" w:eastAsia="Arial" w:hAnsi="Arial" w:cs="Arial"/>
          <w:b/>
          <w:bCs/>
          <w:color w:val="000000"/>
          <w:sz w:val="20"/>
          <w:szCs w:val="20"/>
        </w:rPr>
        <w:t>5.5K</w:t>
      </w:r>
      <w:r>
        <w:rPr>
          <w:rFonts w:ascii="Arial" w:eastAsia="Arial" w:hAnsi="Arial" w:cs="Arial"/>
          <w:color w:val="000000"/>
          <w:sz w:val="20"/>
          <w:szCs w:val="20"/>
        </w:rPr>
        <w:t xml:space="preserve">), </w:t>
      </w:r>
      <w:r>
        <w:rPr>
          <w:rFonts w:ascii="Arial" w:eastAsia="Arial" w:hAnsi="Arial" w:cs="Arial"/>
          <w:b/>
          <w:bCs/>
          <w:color w:val="000000"/>
          <w:sz w:val="20"/>
          <w:szCs w:val="20"/>
        </w:rPr>
        <w:t>Withdrawn</w:t>
      </w:r>
      <w:r>
        <w:rPr>
          <w:rFonts w:ascii="Arial" w:eastAsia="Arial" w:hAnsi="Arial" w:cs="Arial"/>
          <w:color w:val="000000"/>
          <w:sz w:val="20"/>
          <w:szCs w:val="20"/>
        </w:rPr>
        <w:t xml:space="preserve"> (about </w:t>
      </w:r>
      <w:r>
        <w:rPr>
          <w:rFonts w:ascii="Arial" w:eastAsia="Arial" w:hAnsi="Arial" w:cs="Arial"/>
          <w:b/>
          <w:bCs/>
          <w:color w:val="000000"/>
          <w:sz w:val="20"/>
          <w:szCs w:val="20"/>
        </w:rPr>
        <w:t>4.7K</w:t>
      </w:r>
      <w:r>
        <w:rPr>
          <w:rFonts w:ascii="Arial" w:eastAsia="Arial" w:hAnsi="Arial" w:cs="Arial"/>
          <w:color w:val="000000"/>
          <w:sz w:val="20"/>
          <w:szCs w:val="20"/>
        </w:rPr>
        <w:t xml:space="preserve">) and </w:t>
      </w:r>
      <w:r>
        <w:rPr>
          <w:rFonts w:ascii="Arial" w:eastAsia="Arial" w:hAnsi="Arial" w:cs="Arial"/>
          <w:b/>
          <w:bCs/>
          <w:color w:val="000000"/>
          <w:sz w:val="20"/>
          <w:szCs w:val="20"/>
        </w:rPr>
        <w:t>Distinction</w:t>
      </w:r>
      <w:r>
        <w:rPr>
          <w:rFonts w:ascii="Arial" w:eastAsia="Arial" w:hAnsi="Arial" w:cs="Arial"/>
          <w:color w:val="000000"/>
          <w:sz w:val="20"/>
          <w:szCs w:val="20"/>
        </w:rPr>
        <w:t xml:space="preserve"> (about </w:t>
      </w:r>
      <w:r>
        <w:rPr>
          <w:rFonts w:ascii="Arial" w:eastAsia="Arial" w:hAnsi="Arial" w:cs="Arial"/>
          <w:b/>
          <w:bCs/>
          <w:color w:val="000000"/>
          <w:sz w:val="20"/>
          <w:szCs w:val="20"/>
        </w:rPr>
        <w:t>2.8K</w:t>
      </w:r>
      <w:r>
        <w:rPr>
          <w:rFonts w:ascii="Arial" w:eastAsia="Arial" w:hAnsi="Arial" w:cs="Arial"/>
          <w:color w:val="000000"/>
          <w:sz w:val="20"/>
          <w:szCs w:val="20"/>
        </w:rPr>
        <w:t>). Fail and Withdrawn together are almost as large as Pass, which makes retention a significant challenge.</w:t>
      </w:r>
    </w:p>
    <w:p w14:paraId="73DCE90B"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5. Risk Level Drill-down</w:t>
      </w:r>
      <w:r>
        <w:rPr>
          <w:rFonts w:ascii="Arial" w:eastAsia="Arial" w:hAnsi="Arial" w:cs="Arial"/>
          <w:color w:val="000000"/>
          <w:sz w:val="20"/>
          <w:szCs w:val="20"/>
        </w:rPr>
        <w:t>:</w:t>
      </w:r>
    </w:p>
    <w:p w14:paraId="7CE545CD"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Students are spread across four risk levels: </w:t>
      </w:r>
      <w:r>
        <w:rPr>
          <w:rFonts w:ascii="Arial" w:eastAsia="Arial" w:hAnsi="Arial" w:cs="Arial"/>
          <w:b/>
          <w:bCs/>
          <w:color w:val="000000"/>
          <w:sz w:val="20"/>
          <w:szCs w:val="20"/>
        </w:rPr>
        <w:t>High Risk (6,391)</w:t>
      </w:r>
      <w:r>
        <w:rPr>
          <w:rFonts w:ascii="Arial" w:eastAsia="Arial" w:hAnsi="Arial" w:cs="Arial"/>
          <w:color w:val="000000"/>
          <w:sz w:val="20"/>
          <w:szCs w:val="20"/>
        </w:rPr>
        <w:t xml:space="preserve">, </w:t>
      </w:r>
      <w:r>
        <w:rPr>
          <w:rFonts w:ascii="Arial" w:eastAsia="Arial" w:hAnsi="Arial" w:cs="Arial"/>
          <w:b/>
          <w:bCs/>
          <w:color w:val="000000"/>
          <w:sz w:val="20"/>
          <w:szCs w:val="20"/>
        </w:rPr>
        <w:t>Low Risk (6,099)</w:t>
      </w:r>
      <w:r>
        <w:rPr>
          <w:rFonts w:ascii="Arial" w:eastAsia="Arial" w:hAnsi="Arial" w:cs="Arial"/>
          <w:color w:val="000000"/>
          <w:sz w:val="20"/>
          <w:szCs w:val="20"/>
        </w:rPr>
        <w:t xml:space="preserve">, </w:t>
      </w:r>
      <w:r>
        <w:rPr>
          <w:rFonts w:ascii="Arial" w:eastAsia="Arial" w:hAnsi="Arial" w:cs="Arial"/>
          <w:b/>
          <w:bCs/>
          <w:color w:val="000000"/>
          <w:sz w:val="20"/>
          <w:szCs w:val="20"/>
        </w:rPr>
        <w:t>Safe (5,632)</w:t>
      </w:r>
      <w:r>
        <w:rPr>
          <w:rFonts w:ascii="Arial" w:eastAsia="Arial" w:hAnsi="Arial" w:cs="Arial"/>
          <w:color w:val="000000"/>
          <w:sz w:val="20"/>
          <w:szCs w:val="20"/>
        </w:rPr>
        <w:t xml:space="preserve"> and </w:t>
      </w:r>
      <w:r>
        <w:rPr>
          <w:rFonts w:ascii="Arial" w:eastAsia="Arial" w:hAnsi="Arial" w:cs="Arial"/>
          <w:b/>
          <w:bCs/>
          <w:color w:val="000000"/>
          <w:sz w:val="20"/>
          <w:szCs w:val="20"/>
        </w:rPr>
        <w:t>Very High Risk (4,300)</w:t>
      </w:r>
      <w:r>
        <w:rPr>
          <w:rFonts w:ascii="Arial" w:eastAsia="Arial" w:hAnsi="Arial" w:cs="Arial"/>
          <w:color w:val="000000"/>
          <w:sz w:val="20"/>
          <w:szCs w:val="20"/>
        </w:rPr>
        <w:t>.</w:t>
      </w:r>
    </w:p>
    <w:p w14:paraId="02B3BE97"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Drilling into </w:t>
      </w:r>
      <w:r>
        <w:rPr>
          <w:rFonts w:ascii="Arial" w:eastAsia="Arial" w:hAnsi="Arial" w:cs="Arial"/>
          <w:b/>
          <w:bCs/>
          <w:color w:val="000000"/>
          <w:sz w:val="20"/>
          <w:szCs w:val="20"/>
        </w:rPr>
        <w:t>Low Risk</w:t>
      </w:r>
      <w:r>
        <w:rPr>
          <w:rFonts w:ascii="Arial" w:eastAsia="Arial" w:hAnsi="Arial" w:cs="Arial"/>
          <w:color w:val="000000"/>
          <w:sz w:val="20"/>
          <w:szCs w:val="20"/>
        </w:rPr>
        <w:t xml:space="preserve"> students with an </w:t>
      </w:r>
      <w:r>
        <w:rPr>
          <w:rFonts w:ascii="Arial" w:eastAsia="Arial" w:hAnsi="Arial" w:cs="Arial"/>
          <w:b/>
          <w:bCs/>
          <w:color w:val="000000"/>
          <w:sz w:val="20"/>
          <w:szCs w:val="20"/>
        </w:rPr>
        <w:t>HE Qualification</w:t>
      </w:r>
      <w:r>
        <w:rPr>
          <w:rFonts w:ascii="Arial" w:eastAsia="Arial" w:hAnsi="Arial" w:cs="Arial"/>
          <w:color w:val="000000"/>
          <w:sz w:val="20"/>
          <w:szCs w:val="20"/>
        </w:rPr>
        <w:t xml:space="preserve"> (1,016) shows </w:t>
      </w:r>
      <w:r>
        <w:rPr>
          <w:rFonts w:ascii="Arial" w:eastAsia="Arial" w:hAnsi="Arial" w:cs="Arial"/>
          <w:b/>
          <w:bCs/>
          <w:color w:val="000000"/>
          <w:sz w:val="20"/>
          <w:szCs w:val="20"/>
        </w:rPr>
        <w:t>612 male</w:t>
      </w:r>
      <w:r>
        <w:rPr>
          <w:rFonts w:ascii="Arial" w:eastAsia="Arial" w:hAnsi="Arial" w:cs="Arial"/>
          <w:color w:val="000000"/>
          <w:sz w:val="20"/>
          <w:szCs w:val="20"/>
        </w:rPr>
        <w:t xml:space="preserve"> and </w:t>
      </w:r>
      <w:r>
        <w:rPr>
          <w:rFonts w:ascii="Arial" w:eastAsia="Arial" w:hAnsi="Arial" w:cs="Arial"/>
          <w:b/>
          <w:bCs/>
          <w:color w:val="000000"/>
          <w:sz w:val="20"/>
          <w:szCs w:val="20"/>
        </w:rPr>
        <w:t>404 female</w:t>
      </w:r>
      <w:r>
        <w:rPr>
          <w:rFonts w:ascii="Arial" w:eastAsia="Arial" w:hAnsi="Arial" w:cs="Arial"/>
          <w:color w:val="000000"/>
          <w:sz w:val="20"/>
          <w:szCs w:val="20"/>
        </w:rPr>
        <w:t xml:space="preserve"> learners. Among the women, </w:t>
      </w:r>
      <w:r>
        <w:rPr>
          <w:rFonts w:ascii="Arial" w:eastAsia="Arial" w:hAnsi="Arial" w:cs="Arial"/>
          <w:b/>
          <w:bCs/>
          <w:color w:val="000000"/>
          <w:sz w:val="20"/>
          <w:szCs w:val="20"/>
        </w:rPr>
        <w:t>Scotland</w:t>
      </w:r>
      <w:r>
        <w:rPr>
          <w:rFonts w:ascii="Arial" w:eastAsia="Arial" w:hAnsi="Arial" w:cs="Arial"/>
          <w:color w:val="000000"/>
          <w:sz w:val="20"/>
          <w:szCs w:val="20"/>
        </w:rPr>
        <w:t xml:space="preserve"> has the most (</w:t>
      </w:r>
      <w:r>
        <w:rPr>
          <w:rFonts w:ascii="Arial" w:eastAsia="Arial" w:hAnsi="Arial" w:cs="Arial"/>
          <w:b/>
          <w:bCs/>
          <w:color w:val="000000"/>
          <w:sz w:val="20"/>
          <w:szCs w:val="20"/>
        </w:rPr>
        <w:t>116</w:t>
      </w:r>
      <w:r>
        <w:rPr>
          <w:rFonts w:ascii="Arial" w:eastAsia="Arial" w:hAnsi="Arial" w:cs="Arial"/>
          <w:color w:val="000000"/>
          <w:sz w:val="20"/>
          <w:szCs w:val="20"/>
        </w:rPr>
        <w:t xml:space="preserve">), followed by </w:t>
      </w:r>
      <w:r>
        <w:rPr>
          <w:rFonts w:ascii="Arial" w:eastAsia="Arial" w:hAnsi="Arial" w:cs="Arial"/>
          <w:b/>
          <w:bCs/>
          <w:color w:val="000000"/>
          <w:sz w:val="20"/>
          <w:szCs w:val="20"/>
        </w:rPr>
        <w:t>Wales (45)</w:t>
      </w:r>
      <w:r>
        <w:rPr>
          <w:rFonts w:ascii="Arial" w:eastAsia="Arial" w:hAnsi="Arial" w:cs="Arial"/>
          <w:color w:val="000000"/>
          <w:sz w:val="20"/>
          <w:szCs w:val="20"/>
        </w:rPr>
        <w:t xml:space="preserve"> and </w:t>
      </w:r>
      <w:r>
        <w:rPr>
          <w:rFonts w:ascii="Arial" w:eastAsia="Arial" w:hAnsi="Arial" w:cs="Arial"/>
          <w:b/>
          <w:bCs/>
          <w:color w:val="000000"/>
          <w:sz w:val="20"/>
          <w:szCs w:val="20"/>
        </w:rPr>
        <w:t>London Region (43)</w:t>
      </w:r>
      <w:r>
        <w:rPr>
          <w:rFonts w:ascii="Arial" w:eastAsia="Arial" w:hAnsi="Arial" w:cs="Arial"/>
          <w:color w:val="000000"/>
          <w:sz w:val="20"/>
          <w:szCs w:val="20"/>
        </w:rPr>
        <w:t>. This shows how the decomposition tree lets users drill down to any segment.</w:t>
      </w:r>
    </w:p>
    <w:p w14:paraId="44A356BC" w14:textId="77777777" w:rsidR="00B0508E" w:rsidRDefault="00A72CE2">
      <w:pPr>
        <w:keepNext/>
        <w:spacing w:before="280"/>
        <w:rPr>
          <w:rFonts w:ascii="Arial" w:eastAsia="Arial" w:hAnsi="Arial" w:cs="Arial"/>
          <w:sz w:val="24"/>
        </w:rPr>
      </w:pPr>
      <w:r>
        <w:rPr>
          <w:rFonts w:ascii="Arial" w:eastAsia="Arial" w:hAnsi="Arial" w:cs="Arial"/>
          <w:b/>
          <w:bCs/>
          <w:color w:val="4472C4"/>
          <w:sz w:val="24"/>
          <w:szCs w:val="24"/>
        </w:rPr>
        <w:t>Dashboard 2: Risk, Dropout &amp; Demographic Analysis</w:t>
      </w:r>
    </w:p>
    <w:p w14:paraId="494346C3" w14:textId="277AB19E" w:rsidR="00B0508E" w:rsidRDefault="00C0598D">
      <w:pPr>
        <w:keepNext/>
        <w:spacing w:before="60" w:after="0"/>
        <w:jc w:val="center"/>
      </w:pPr>
      <w:r w:rsidRPr="00C0598D">
        <w:drawing>
          <wp:inline distT="0" distB="0" distL="0" distR="0" wp14:anchorId="28FCD18B" wp14:editId="28FE5EC6">
            <wp:extent cx="6153150" cy="3305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53150" cy="3305175"/>
                    </a:xfrm>
                    <a:prstGeom prst="rect">
                      <a:avLst/>
                    </a:prstGeom>
                  </pic:spPr>
                </pic:pic>
              </a:graphicData>
            </a:graphic>
          </wp:inline>
        </w:drawing>
      </w:r>
    </w:p>
    <w:p w14:paraId="34FE76DD" w14:textId="77777777" w:rsidR="00B0508E" w:rsidRDefault="00A72CE2">
      <w:pPr>
        <w:spacing w:before="60" w:after="200"/>
        <w:jc w:val="center"/>
        <w:rPr>
          <w:rFonts w:ascii="Arial" w:eastAsia="Arial" w:hAnsi="Arial" w:cs="Arial"/>
          <w:sz w:val="18"/>
        </w:rPr>
      </w:pPr>
      <w:r>
        <w:rPr>
          <w:rFonts w:ascii="Arial" w:eastAsia="Arial" w:hAnsi="Arial" w:cs="Arial"/>
          <w:i/>
          <w:iCs/>
          <w:color w:val="595959"/>
          <w:sz w:val="18"/>
          <w:szCs w:val="18"/>
        </w:rPr>
        <w:t>Figure 2: Risk, Dropout &amp; Demographic Analysis Dashboard</w:t>
      </w:r>
    </w:p>
    <w:p w14:paraId="2122D5D4" w14:textId="77777777" w:rsidR="00B0508E" w:rsidRDefault="00A72CE2">
      <w:pPr>
        <w:keepNext/>
        <w:spacing w:before="120"/>
        <w:rPr>
          <w:rFonts w:ascii="Arial" w:eastAsia="Arial" w:hAnsi="Arial" w:cs="Arial"/>
          <w:sz w:val="20"/>
        </w:rPr>
      </w:pPr>
      <w:r>
        <w:rPr>
          <w:rFonts w:ascii="Arial" w:eastAsia="Arial" w:hAnsi="Arial" w:cs="Arial"/>
          <w:color w:val="000000"/>
          <w:sz w:val="20"/>
          <w:szCs w:val="20"/>
        </w:rPr>
        <w:t>Observations drawn from this dashboard:</w:t>
      </w:r>
    </w:p>
    <w:p w14:paraId="5071DBD0"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1. Dropout Rate by Prior Education</w:t>
      </w:r>
      <w:r>
        <w:rPr>
          <w:rFonts w:ascii="Arial" w:eastAsia="Arial" w:hAnsi="Arial" w:cs="Arial"/>
          <w:color w:val="000000"/>
          <w:sz w:val="20"/>
          <w:szCs w:val="20"/>
        </w:rPr>
        <w:t>:</w:t>
      </w:r>
    </w:p>
    <w:p w14:paraId="3B0AA470"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Dropout falls steadily as prior education rises: about </w:t>
      </w:r>
      <w:r>
        <w:rPr>
          <w:rFonts w:ascii="Arial" w:eastAsia="Arial" w:hAnsi="Arial" w:cs="Arial"/>
          <w:b/>
          <w:bCs/>
          <w:color w:val="000000"/>
          <w:sz w:val="20"/>
          <w:szCs w:val="20"/>
        </w:rPr>
        <w:t>28%</w:t>
      </w:r>
      <w:r>
        <w:rPr>
          <w:rFonts w:ascii="Arial" w:eastAsia="Arial" w:hAnsi="Arial" w:cs="Arial"/>
          <w:color w:val="000000"/>
          <w:sz w:val="20"/>
          <w:szCs w:val="20"/>
        </w:rPr>
        <w:t xml:space="preserve"> for students with </w:t>
      </w:r>
      <w:r>
        <w:rPr>
          <w:rFonts w:ascii="Arial" w:eastAsia="Arial" w:hAnsi="Arial" w:cs="Arial"/>
          <w:b/>
          <w:bCs/>
          <w:color w:val="000000"/>
          <w:sz w:val="20"/>
          <w:szCs w:val="20"/>
        </w:rPr>
        <w:t>No Formal quals</w:t>
      </w:r>
      <w:r>
        <w:rPr>
          <w:rFonts w:ascii="Arial" w:eastAsia="Arial" w:hAnsi="Arial" w:cs="Arial"/>
          <w:color w:val="000000"/>
          <w:sz w:val="20"/>
          <w:szCs w:val="20"/>
        </w:rPr>
        <w:t xml:space="preserve">, about </w:t>
      </w:r>
      <w:r>
        <w:rPr>
          <w:rFonts w:ascii="Arial" w:eastAsia="Arial" w:hAnsi="Arial" w:cs="Arial"/>
          <w:b/>
          <w:bCs/>
          <w:color w:val="000000"/>
          <w:sz w:val="20"/>
          <w:szCs w:val="20"/>
        </w:rPr>
        <w:t>24%</w:t>
      </w:r>
      <w:r>
        <w:rPr>
          <w:rFonts w:ascii="Arial" w:eastAsia="Arial" w:hAnsi="Arial" w:cs="Arial"/>
          <w:color w:val="000000"/>
          <w:sz w:val="20"/>
          <w:szCs w:val="20"/>
        </w:rPr>
        <w:t xml:space="preserve"> for Lower Than A Level, about </w:t>
      </w:r>
      <w:r>
        <w:rPr>
          <w:rFonts w:ascii="Arial" w:eastAsia="Arial" w:hAnsi="Arial" w:cs="Arial"/>
          <w:b/>
          <w:bCs/>
          <w:color w:val="000000"/>
          <w:sz w:val="20"/>
          <w:szCs w:val="20"/>
        </w:rPr>
        <w:t>20%</w:t>
      </w:r>
      <w:r>
        <w:rPr>
          <w:rFonts w:ascii="Arial" w:eastAsia="Arial" w:hAnsi="Arial" w:cs="Arial"/>
          <w:color w:val="000000"/>
          <w:sz w:val="20"/>
          <w:szCs w:val="20"/>
        </w:rPr>
        <w:t xml:space="preserve"> for both A Level and HE Qualification, and about </w:t>
      </w:r>
      <w:r>
        <w:rPr>
          <w:rFonts w:ascii="Arial" w:eastAsia="Arial" w:hAnsi="Arial" w:cs="Arial"/>
          <w:b/>
          <w:bCs/>
          <w:color w:val="000000"/>
          <w:sz w:val="20"/>
          <w:szCs w:val="20"/>
        </w:rPr>
        <w:t>18%</w:t>
      </w:r>
      <w:r>
        <w:rPr>
          <w:rFonts w:ascii="Arial" w:eastAsia="Arial" w:hAnsi="Arial" w:cs="Arial"/>
          <w:color w:val="000000"/>
          <w:sz w:val="20"/>
          <w:szCs w:val="20"/>
        </w:rPr>
        <w:t xml:space="preserve"> for </w:t>
      </w:r>
      <w:r>
        <w:rPr>
          <w:rFonts w:ascii="Arial" w:eastAsia="Arial" w:hAnsi="Arial" w:cs="Arial"/>
          <w:b/>
          <w:bCs/>
          <w:color w:val="000000"/>
          <w:sz w:val="20"/>
          <w:szCs w:val="20"/>
        </w:rPr>
        <w:t>Post Graduate</w:t>
      </w:r>
      <w:r>
        <w:rPr>
          <w:rFonts w:ascii="Arial" w:eastAsia="Arial" w:hAnsi="Arial" w:cs="Arial"/>
          <w:color w:val="000000"/>
          <w:sz w:val="20"/>
          <w:szCs w:val="20"/>
        </w:rPr>
        <w:t xml:space="preserve"> learners. Students with no formal qualifications drop out about </w:t>
      </w:r>
      <w:r>
        <w:rPr>
          <w:rFonts w:ascii="Arial" w:eastAsia="Arial" w:hAnsi="Arial" w:cs="Arial"/>
          <w:b/>
          <w:bCs/>
          <w:color w:val="000000"/>
          <w:sz w:val="20"/>
          <w:szCs w:val="20"/>
        </w:rPr>
        <w:t>1.5 times</w:t>
      </w:r>
      <w:r>
        <w:rPr>
          <w:rFonts w:ascii="Arial" w:eastAsia="Arial" w:hAnsi="Arial" w:cs="Arial"/>
          <w:color w:val="000000"/>
          <w:sz w:val="20"/>
          <w:szCs w:val="20"/>
        </w:rPr>
        <w:t xml:space="preserve"> as often as post-graduates.</w:t>
      </w:r>
    </w:p>
    <w:p w14:paraId="2253296B"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lastRenderedPageBreak/>
        <w:t>2. Pass Rate by Prior Education</w:t>
      </w:r>
      <w:r>
        <w:rPr>
          <w:rFonts w:ascii="Arial" w:eastAsia="Arial" w:hAnsi="Arial" w:cs="Arial"/>
          <w:color w:val="000000"/>
          <w:sz w:val="20"/>
          <w:szCs w:val="20"/>
        </w:rPr>
        <w:t>:</w:t>
      </w:r>
    </w:p>
    <w:p w14:paraId="6B68A158"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The pass rate mirrors this pattern: about </w:t>
      </w:r>
      <w:r>
        <w:rPr>
          <w:rFonts w:ascii="Arial" w:eastAsia="Arial" w:hAnsi="Arial" w:cs="Arial"/>
          <w:b/>
          <w:bCs/>
          <w:color w:val="000000"/>
          <w:sz w:val="20"/>
          <w:szCs w:val="20"/>
        </w:rPr>
        <w:t>67%</w:t>
      </w:r>
      <w:r>
        <w:rPr>
          <w:rFonts w:ascii="Arial" w:eastAsia="Arial" w:hAnsi="Arial" w:cs="Arial"/>
          <w:color w:val="000000"/>
          <w:sz w:val="20"/>
          <w:szCs w:val="20"/>
        </w:rPr>
        <w:t xml:space="preserve"> for </w:t>
      </w:r>
      <w:r>
        <w:rPr>
          <w:rFonts w:ascii="Arial" w:eastAsia="Arial" w:hAnsi="Arial" w:cs="Arial"/>
          <w:b/>
          <w:bCs/>
          <w:color w:val="000000"/>
          <w:sz w:val="20"/>
          <w:szCs w:val="20"/>
        </w:rPr>
        <w:t>Post Graduate</w:t>
      </w:r>
      <w:r>
        <w:rPr>
          <w:rFonts w:ascii="Arial" w:eastAsia="Arial" w:hAnsi="Arial" w:cs="Arial"/>
          <w:color w:val="000000"/>
          <w:sz w:val="20"/>
          <w:szCs w:val="20"/>
        </w:rPr>
        <w:t xml:space="preserve">, </w:t>
      </w:r>
      <w:r>
        <w:rPr>
          <w:rFonts w:ascii="Arial" w:eastAsia="Arial" w:hAnsi="Arial" w:cs="Arial"/>
          <w:b/>
          <w:bCs/>
          <w:color w:val="000000"/>
          <w:sz w:val="20"/>
          <w:szCs w:val="20"/>
        </w:rPr>
        <w:t>65%</w:t>
      </w:r>
      <w:r>
        <w:rPr>
          <w:rFonts w:ascii="Arial" w:eastAsia="Arial" w:hAnsi="Arial" w:cs="Arial"/>
          <w:color w:val="000000"/>
          <w:sz w:val="20"/>
          <w:szCs w:val="20"/>
        </w:rPr>
        <w:t xml:space="preserve"> for HE Qualification, </w:t>
      </w:r>
      <w:r>
        <w:rPr>
          <w:rFonts w:ascii="Arial" w:eastAsia="Arial" w:hAnsi="Arial" w:cs="Arial"/>
          <w:b/>
          <w:bCs/>
          <w:color w:val="000000"/>
          <w:sz w:val="20"/>
          <w:szCs w:val="20"/>
        </w:rPr>
        <w:t>62%</w:t>
      </w:r>
      <w:r>
        <w:rPr>
          <w:rFonts w:ascii="Arial" w:eastAsia="Arial" w:hAnsi="Arial" w:cs="Arial"/>
          <w:color w:val="000000"/>
          <w:sz w:val="20"/>
          <w:szCs w:val="20"/>
        </w:rPr>
        <w:t xml:space="preserve"> for A Level, </w:t>
      </w:r>
      <w:r>
        <w:rPr>
          <w:rFonts w:ascii="Arial" w:eastAsia="Arial" w:hAnsi="Arial" w:cs="Arial"/>
          <w:b/>
          <w:bCs/>
          <w:color w:val="000000"/>
          <w:sz w:val="20"/>
          <w:szCs w:val="20"/>
        </w:rPr>
        <w:t>50%</w:t>
      </w:r>
      <w:r>
        <w:rPr>
          <w:rFonts w:ascii="Arial" w:eastAsia="Arial" w:hAnsi="Arial" w:cs="Arial"/>
          <w:color w:val="000000"/>
          <w:sz w:val="20"/>
          <w:szCs w:val="20"/>
        </w:rPr>
        <w:t xml:space="preserve"> for Lower Than A Level and only about </w:t>
      </w:r>
      <w:r>
        <w:rPr>
          <w:rFonts w:ascii="Arial" w:eastAsia="Arial" w:hAnsi="Arial" w:cs="Arial"/>
          <w:b/>
          <w:bCs/>
          <w:color w:val="000000"/>
          <w:sz w:val="20"/>
          <w:szCs w:val="20"/>
        </w:rPr>
        <w:t>42%</w:t>
      </w:r>
      <w:r>
        <w:rPr>
          <w:rFonts w:ascii="Arial" w:eastAsia="Arial" w:hAnsi="Arial" w:cs="Arial"/>
          <w:color w:val="000000"/>
          <w:sz w:val="20"/>
          <w:szCs w:val="20"/>
        </w:rPr>
        <w:t xml:space="preserve"> for </w:t>
      </w:r>
      <w:r>
        <w:rPr>
          <w:rFonts w:ascii="Arial" w:eastAsia="Arial" w:hAnsi="Arial" w:cs="Arial"/>
          <w:b/>
          <w:bCs/>
          <w:color w:val="000000"/>
          <w:sz w:val="20"/>
          <w:szCs w:val="20"/>
        </w:rPr>
        <w:t>No Formal quals</w:t>
      </w:r>
      <w:r>
        <w:rPr>
          <w:rFonts w:ascii="Arial" w:eastAsia="Arial" w:hAnsi="Arial" w:cs="Arial"/>
          <w:color w:val="000000"/>
          <w:sz w:val="20"/>
          <w:szCs w:val="20"/>
        </w:rPr>
        <w:t xml:space="preserve">, a gap of roughly </w:t>
      </w:r>
      <w:r>
        <w:rPr>
          <w:rFonts w:ascii="Arial" w:eastAsia="Arial" w:hAnsi="Arial" w:cs="Arial"/>
          <w:b/>
          <w:bCs/>
          <w:color w:val="000000"/>
          <w:sz w:val="20"/>
          <w:szCs w:val="20"/>
        </w:rPr>
        <w:t>25 percentage points</w:t>
      </w:r>
      <w:r>
        <w:rPr>
          <w:rFonts w:ascii="Arial" w:eastAsia="Arial" w:hAnsi="Arial" w:cs="Arial"/>
          <w:color w:val="000000"/>
          <w:sz w:val="20"/>
          <w:szCs w:val="20"/>
        </w:rPr>
        <w:t xml:space="preserve"> between the highest and lowest groups.</w:t>
      </w:r>
    </w:p>
    <w:p w14:paraId="2802A501"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3. Risk Profile</w:t>
      </w:r>
      <w:r>
        <w:rPr>
          <w:rFonts w:ascii="Arial" w:eastAsia="Arial" w:hAnsi="Arial" w:cs="Arial"/>
          <w:color w:val="000000"/>
          <w:sz w:val="20"/>
          <w:szCs w:val="20"/>
        </w:rPr>
        <w:t>:</w:t>
      </w:r>
    </w:p>
    <w:p w14:paraId="0880F0E8"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High Risk (28.5%)</w:t>
      </w:r>
      <w:r>
        <w:rPr>
          <w:rFonts w:ascii="Arial" w:eastAsia="Arial" w:hAnsi="Arial" w:cs="Arial"/>
          <w:color w:val="000000"/>
          <w:sz w:val="20"/>
          <w:szCs w:val="20"/>
        </w:rPr>
        <w:t xml:space="preserve"> and </w:t>
      </w:r>
      <w:r>
        <w:rPr>
          <w:rFonts w:ascii="Arial" w:eastAsia="Arial" w:hAnsi="Arial" w:cs="Arial"/>
          <w:b/>
          <w:bCs/>
          <w:color w:val="000000"/>
          <w:sz w:val="20"/>
          <w:szCs w:val="20"/>
        </w:rPr>
        <w:t>Very High Risk (19.18%)</w:t>
      </w:r>
      <w:r>
        <w:rPr>
          <w:rFonts w:ascii="Arial" w:eastAsia="Arial" w:hAnsi="Arial" w:cs="Arial"/>
          <w:color w:val="000000"/>
          <w:sz w:val="20"/>
          <w:szCs w:val="20"/>
        </w:rPr>
        <w:t xml:space="preserve"> students together total </w:t>
      </w:r>
      <w:r>
        <w:rPr>
          <w:rFonts w:ascii="Arial" w:eastAsia="Arial" w:hAnsi="Arial" w:cs="Arial"/>
          <w:b/>
          <w:bCs/>
          <w:color w:val="000000"/>
          <w:sz w:val="20"/>
          <w:szCs w:val="20"/>
        </w:rPr>
        <w:t>10,691</w:t>
      </w:r>
      <w:r>
        <w:rPr>
          <w:rFonts w:ascii="Arial" w:eastAsia="Arial" w:hAnsi="Arial" w:cs="Arial"/>
          <w:color w:val="000000"/>
          <w:sz w:val="20"/>
          <w:szCs w:val="20"/>
        </w:rPr>
        <w:t xml:space="preserve">, nearly </w:t>
      </w:r>
      <w:r>
        <w:rPr>
          <w:rFonts w:ascii="Arial" w:eastAsia="Arial" w:hAnsi="Arial" w:cs="Arial"/>
          <w:b/>
          <w:bCs/>
          <w:color w:val="000000"/>
          <w:sz w:val="20"/>
          <w:szCs w:val="20"/>
        </w:rPr>
        <w:t>48%</w:t>
      </w:r>
      <w:r>
        <w:rPr>
          <w:rFonts w:ascii="Arial" w:eastAsia="Arial" w:hAnsi="Arial" w:cs="Arial"/>
          <w:color w:val="000000"/>
          <w:sz w:val="20"/>
          <w:szCs w:val="20"/>
        </w:rPr>
        <w:t xml:space="preserve"> of all learners. </w:t>
      </w:r>
      <w:r>
        <w:rPr>
          <w:rFonts w:ascii="Arial" w:eastAsia="Arial" w:hAnsi="Arial" w:cs="Arial"/>
          <w:b/>
          <w:bCs/>
          <w:color w:val="000000"/>
          <w:sz w:val="20"/>
          <w:szCs w:val="20"/>
        </w:rPr>
        <w:t>Low Risk (27.2%)</w:t>
      </w:r>
      <w:r>
        <w:rPr>
          <w:rFonts w:ascii="Arial" w:eastAsia="Arial" w:hAnsi="Arial" w:cs="Arial"/>
          <w:color w:val="000000"/>
          <w:sz w:val="20"/>
          <w:szCs w:val="20"/>
        </w:rPr>
        <w:t xml:space="preserve"> and </w:t>
      </w:r>
      <w:r>
        <w:rPr>
          <w:rFonts w:ascii="Arial" w:eastAsia="Arial" w:hAnsi="Arial" w:cs="Arial"/>
          <w:b/>
          <w:bCs/>
          <w:color w:val="000000"/>
          <w:sz w:val="20"/>
          <w:szCs w:val="20"/>
        </w:rPr>
        <w:t>Safe (25.12%)</w:t>
      </w:r>
      <w:r>
        <w:rPr>
          <w:rFonts w:ascii="Arial" w:eastAsia="Arial" w:hAnsi="Arial" w:cs="Arial"/>
          <w:color w:val="000000"/>
          <w:sz w:val="20"/>
          <w:szCs w:val="20"/>
        </w:rPr>
        <w:t xml:space="preserve"> make up the remaining, just over half.</w:t>
      </w:r>
    </w:p>
    <w:p w14:paraId="55A6AA14"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4. Gender and Final Result</w:t>
      </w:r>
      <w:r>
        <w:rPr>
          <w:rFonts w:ascii="Arial" w:eastAsia="Arial" w:hAnsi="Arial" w:cs="Arial"/>
          <w:color w:val="000000"/>
          <w:sz w:val="20"/>
          <w:szCs w:val="20"/>
        </w:rPr>
        <w:t>:</w:t>
      </w:r>
    </w:p>
    <w:p w14:paraId="75D7AB23"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Outcomes are broadly similar for both genders, but women do slightly better: about </w:t>
      </w:r>
      <w:r>
        <w:rPr>
          <w:rFonts w:ascii="Arial" w:eastAsia="Arial" w:hAnsi="Arial" w:cs="Arial"/>
          <w:b/>
          <w:bCs/>
          <w:color w:val="000000"/>
          <w:sz w:val="20"/>
          <w:szCs w:val="20"/>
        </w:rPr>
        <w:t>49%</w:t>
      </w:r>
      <w:r>
        <w:rPr>
          <w:rFonts w:ascii="Arial" w:eastAsia="Arial" w:hAnsi="Arial" w:cs="Arial"/>
          <w:color w:val="000000"/>
          <w:sz w:val="20"/>
          <w:szCs w:val="20"/>
        </w:rPr>
        <w:t xml:space="preserve"> of female students Pass compared with about </w:t>
      </w:r>
      <w:r>
        <w:rPr>
          <w:rFonts w:ascii="Arial" w:eastAsia="Arial" w:hAnsi="Arial" w:cs="Arial"/>
          <w:b/>
          <w:bCs/>
          <w:color w:val="000000"/>
          <w:sz w:val="20"/>
          <w:szCs w:val="20"/>
        </w:rPr>
        <w:t>45%</w:t>
      </w:r>
      <w:r>
        <w:rPr>
          <w:rFonts w:ascii="Arial" w:eastAsia="Arial" w:hAnsi="Arial" w:cs="Arial"/>
          <w:color w:val="000000"/>
          <w:sz w:val="20"/>
          <w:szCs w:val="20"/>
        </w:rPr>
        <w:t xml:space="preserve"> of male students, and about </w:t>
      </w:r>
      <w:r>
        <w:rPr>
          <w:rFonts w:ascii="Arial" w:eastAsia="Arial" w:hAnsi="Arial" w:cs="Arial"/>
          <w:b/>
          <w:bCs/>
          <w:color w:val="000000"/>
          <w:sz w:val="20"/>
          <w:szCs w:val="20"/>
        </w:rPr>
        <w:t>17%</w:t>
      </w:r>
      <w:r>
        <w:rPr>
          <w:rFonts w:ascii="Arial" w:eastAsia="Arial" w:hAnsi="Arial" w:cs="Arial"/>
          <w:color w:val="000000"/>
          <w:sz w:val="20"/>
          <w:szCs w:val="20"/>
        </w:rPr>
        <w:t xml:space="preserve"> of women Withdraw compared with about </w:t>
      </w:r>
      <w:r>
        <w:rPr>
          <w:rFonts w:ascii="Arial" w:eastAsia="Arial" w:hAnsi="Arial" w:cs="Arial"/>
          <w:b/>
          <w:bCs/>
          <w:color w:val="000000"/>
          <w:sz w:val="20"/>
          <w:szCs w:val="20"/>
        </w:rPr>
        <w:t>21%</w:t>
      </w:r>
      <w:r>
        <w:rPr>
          <w:rFonts w:ascii="Arial" w:eastAsia="Arial" w:hAnsi="Arial" w:cs="Arial"/>
          <w:color w:val="000000"/>
          <w:sz w:val="20"/>
          <w:szCs w:val="20"/>
        </w:rPr>
        <w:t xml:space="preserve"> of men. Distinction rates are close (about 11–12%).</w:t>
      </w:r>
    </w:p>
    <w:p w14:paraId="6DCD50CD" w14:textId="77777777" w:rsidR="00B0508E" w:rsidRDefault="00A72CE2">
      <w:pPr>
        <w:keepNext/>
        <w:spacing w:before="160" w:after="80"/>
        <w:rPr>
          <w:rFonts w:ascii="Arial" w:eastAsia="Arial" w:hAnsi="Arial" w:cs="Arial"/>
          <w:sz w:val="20"/>
        </w:rPr>
      </w:pPr>
      <w:r>
        <w:rPr>
          <w:rFonts w:ascii="Arial" w:eastAsia="Arial" w:hAnsi="Arial" w:cs="Arial"/>
          <w:b/>
          <w:bCs/>
          <w:color w:val="000000"/>
          <w:sz w:val="20"/>
          <w:szCs w:val="20"/>
        </w:rPr>
        <w:t>5. Engagement and Final Result</w:t>
      </w:r>
      <w:r>
        <w:rPr>
          <w:rFonts w:ascii="Arial" w:eastAsia="Arial" w:hAnsi="Arial" w:cs="Arial"/>
          <w:color w:val="000000"/>
          <w:sz w:val="20"/>
          <w:szCs w:val="20"/>
        </w:rPr>
        <w:t>:</w:t>
      </w:r>
    </w:p>
    <w:p w14:paraId="78A1C8AC"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color w:val="000000"/>
          <w:sz w:val="20"/>
          <w:szCs w:val="20"/>
        </w:rPr>
        <w:t xml:space="preserve">For </w:t>
      </w:r>
      <w:r>
        <w:rPr>
          <w:rFonts w:ascii="Arial" w:eastAsia="Arial" w:hAnsi="Arial" w:cs="Arial"/>
          <w:b/>
          <w:bCs/>
          <w:color w:val="000000"/>
          <w:sz w:val="20"/>
          <w:szCs w:val="20"/>
        </w:rPr>
        <w:t>High-engagement</w:t>
      </w:r>
      <w:r>
        <w:rPr>
          <w:rFonts w:ascii="Arial" w:eastAsia="Arial" w:hAnsi="Arial" w:cs="Arial"/>
          <w:color w:val="000000"/>
          <w:sz w:val="20"/>
          <w:szCs w:val="20"/>
        </w:rPr>
        <w:t xml:space="preserve"> students the decomposition tree shows </w:t>
      </w:r>
      <w:r>
        <w:rPr>
          <w:rFonts w:ascii="Arial" w:eastAsia="Arial" w:hAnsi="Arial" w:cs="Arial"/>
          <w:b/>
          <w:bCs/>
          <w:color w:val="000000"/>
          <w:sz w:val="20"/>
          <w:szCs w:val="20"/>
        </w:rPr>
        <w:t>Pass (5,168)</w:t>
      </w:r>
      <w:r>
        <w:rPr>
          <w:rFonts w:ascii="Arial" w:eastAsia="Arial" w:hAnsi="Arial" w:cs="Arial"/>
          <w:color w:val="000000"/>
          <w:sz w:val="20"/>
          <w:szCs w:val="20"/>
        </w:rPr>
        <w:t xml:space="preserve">, </w:t>
      </w:r>
      <w:r>
        <w:rPr>
          <w:rFonts w:ascii="Arial" w:eastAsia="Arial" w:hAnsi="Arial" w:cs="Arial"/>
          <w:b/>
          <w:bCs/>
          <w:color w:val="000000"/>
          <w:sz w:val="20"/>
          <w:szCs w:val="20"/>
        </w:rPr>
        <w:t>Distinction (1,595)</w:t>
      </w:r>
      <w:r>
        <w:rPr>
          <w:rFonts w:ascii="Arial" w:eastAsia="Arial" w:hAnsi="Arial" w:cs="Arial"/>
          <w:color w:val="000000"/>
          <w:sz w:val="20"/>
          <w:szCs w:val="20"/>
        </w:rPr>
        <w:t xml:space="preserve">, </w:t>
      </w:r>
      <w:r>
        <w:rPr>
          <w:rFonts w:ascii="Arial" w:eastAsia="Arial" w:hAnsi="Arial" w:cs="Arial"/>
          <w:b/>
          <w:bCs/>
          <w:color w:val="000000"/>
          <w:sz w:val="20"/>
          <w:szCs w:val="20"/>
        </w:rPr>
        <w:t>Withdrawn (967)</w:t>
      </w:r>
      <w:r>
        <w:rPr>
          <w:rFonts w:ascii="Arial" w:eastAsia="Arial" w:hAnsi="Arial" w:cs="Arial"/>
          <w:color w:val="000000"/>
          <w:sz w:val="20"/>
          <w:szCs w:val="20"/>
        </w:rPr>
        <w:t xml:space="preserve"> and </w:t>
      </w:r>
      <w:r>
        <w:rPr>
          <w:rFonts w:ascii="Arial" w:eastAsia="Arial" w:hAnsi="Arial" w:cs="Arial"/>
          <w:b/>
          <w:bCs/>
          <w:color w:val="000000"/>
          <w:sz w:val="20"/>
          <w:szCs w:val="20"/>
        </w:rPr>
        <w:t>Fail (915)</w:t>
      </w:r>
      <w:r>
        <w:rPr>
          <w:rFonts w:ascii="Arial" w:eastAsia="Arial" w:hAnsi="Arial" w:cs="Arial"/>
          <w:color w:val="000000"/>
          <w:sz w:val="20"/>
          <w:szCs w:val="20"/>
        </w:rPr>
        <w:t xml:space="preserve">. About </w:t>
      </w:r>
      <w:r>
        <w:rPr>
          <w:rFonts w:ascii="Arial" w:eastAsia="Arial" w:hAnsi="Arial" w:cs="Arial"/>
          <w:b/>
          <w:bCs/>
          <w:color w:val="000000"/>
          <w:sz w:val="20"/>
          <w:szCs w:val="20"/>
        </w:rPr>
        <w:t>78%</w:t>
      </w:r>
      <w:r>
        <w:rPr>
          <w:rFonts w:ascii="Arial" w:eastAsia="Arial" w:hAnsi="Arial" w:cs="Arial"/>
          <w:color w:val="000000"/>
          <w:sz w:val="20"/>
          <w:szCs w:val="20"/>
        </w:rPr>
        <w:t xml:space="preserve"> finish with a Pass or Distinction and only about </w:t>
      </w:r>
      <w:r>
        <w:rPr>
          <w:rFonts w:ascii="Arial" w:eastAsia="Arial" w:hAnsi="Arial" w:cs="Arial"/>
          <w:b/>
          <w:bCs/>
          <w:color w:val="000000"/>
          <w:sz w:val="20"/>
          <w:szCs w:val="20"/>
        </w:rPr>
        <w:t>22%</w:t>
      </w:r>
      <w:r>
        <w:rPr>
          <w:rFonts w:ascii="Arial" w:eastAsia="Arial" w:hAnsi="Arial" w:cs="Arial"/>
          <w:color w:val="000000"/>
          <w:sz w:val="20"/>
          <w:szCs w:val="20"/>
        </w:rPr>
        <w:t xml:space="preserve"> fail or withdraw, compared with roughly </w:t>
      </w:r>
      <w:r>
        <w:rPr>
          <w:rFonts w:ascii="Arial" w:eastAsia="Arial" w:hAnsi="Arial" w:cs="Arial"/>
          <w:b/>
          <w:bCs/>
          <w:color w:val="000000"/>
          <w:sz w:val="20"/>
          <w:szCs w:val="20"/>
        </w:rPr>
        <w:t>40%</w:t>
      </w:r>
      <w:r>
        <w:rPr>
          <w:rFonts w:ascii="Arial" w:eastAsia="Arial" w:hAnsi="Arial" w:cs="Arial"/>
          <w:color w:val="000000"/>
          <w:sz w:val="20"/>
          <w:szCs w:val="20"/>
        </w:rPr>
        <w:t xml:space="preserve"> across all students on Dashboard 1. High engagement is therefore associated with about half the rate of failure or withdrawal.</w:t>
      </w:r>
    </w:p>
    <w:p w14:paraId="719C6697" w14:textId="77777777" w:rsidR="00B0508E" w:rsidRDefault="00A72CE2">
      <w:pPr>
        <w:keepNext/>
        <w:spacing w:before="280"/>
        <w:rPr>
          <w:rFonts w:ascii="Arial" w:eastAsia="Arial" w:hAnsi="Arial" w:cs="Arial"/>
          <w:sz w:val="24"/>
        </w:rPr>
      </w:pPr>
      <w:r>
        <w:rPr>
          <w:rFonts w:ascii="Arial" w:eastAsia="Arial" w:hAnsi="Arial" w:cs="Arial"/>
          <w:b/>
          <w:bCs/>
          <w:color w:val="4472C4"/>
          <w:sz w:val="24"/>
          <w:szCs w:val="24"/>
        </w:rPr>
        <w:t>Key Insights and Recommendations</w:t>
      </w:r>
    </w:p>
    <w:p w14:paraId="1818B5A7"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Engagement is closely linked to success.</w:t>
      </w:r>
      <w:r>
        <w:rPr>
          <w:rFonts w:ascii="Arial" w:eastAsia="Arial" w:hAnsi="Arial" w:cs="Arial"/>
          <w:color w:val="000000"/>
          <w:sz w:val="20"/>
          <w:szCs w:val="20"/>
        </w:rPr>
        <w:t xml:space="preserve"> Highly engaged students fail or withdraw about half as often, so the </w:t>
      </w:r>
      <w:r>
        <w:rPr>
          <w:rFonts w:ascii="Arial" w:eastAsia="Arial" w:hAnsi="Arial" w:cs="Arial"/>
          <w:b/>
          <w:bCs/>
          <w:color w:val="000000"/>
          <w:sz w:val="20"/>
          <w:szCs w:val="20"/>
        </w:rPr>
        <w:t>14,810</w:t>
      </w:r>
      <w:r>
        <w:rPr>
          <w:rFonts w:ascii="Arial" w:eastAsia="Arial" w:hAnsi="Arial" w:cs="Arial"/>
          <w:color w:val="000000"/>
          <w:sz w:val="20"/>
          <w:szCs w:val="20"/>
        </w:rPr>
        <w:t xml:space="preserve"> students at Medium or Low engagement should be the focus of reminders, nudges and more interactive content.</w:t>
      </w:r>
    </w:p>
    <w:p w14:paraId="06FD98D2"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Prior education matters more than region.</w:t>
      </w:r>
      <w:r>
        <w:rPr>
          <w:rFonts w:ascii="Arial" w:eastAsia="Arial" w:hAnsi="Arial" w:cs="Arial"/>
          <w:color w:val="000000"/>
          <w:sz w:val="20"/>
          <w:szCs w:val="20"/>
        </w:rPr>
        <w:t xml:space="preserve"> Regional average scores differ by only a few points, while dropout and pass rates vary widely with prior education. Support such as bridging modules, mentoring and study-skills sessions should target learners with No Formal quals or Lower Than A Level.</w:t>
      </w:r>
    </w:p>
    <w:p w14:paraId="49DC58E6"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Prioritise high-risk learners.</w:t>
      </w:r>
      <w:r>
        <w:rPr>
          <w:rFonts w:ascii="Arial" w:eastAsia="Arial" w:hAnsi="Arial" w:cs="Arial"/>
          <w:color w:val="000000"/>
          <w:sz w:val="20"/>
          <w:szCs w:val="20"/>
        </w:rPr>
        <w:t xml:space="preserve"> With </w:t>
      </w:r>
      <w:r>
        <w:rPr>
          <w:rFonts w:ascii="Arial" w:eastAsia="Arial" w:hAnsi="Arial" w:cs="Arial"/>
          <w:b/>
          <w:bCs/>
          <w:color w:val="000000"/>
          <w:sz w:val="20"/>
          <w:szCs w:val="20"/>
        </w:rPr>
        <w:t>10,691</w:t>
      </w:r>
      <w:r>
        <w:rPr>
          <w:rFonts w:ascii="Arial" w:eastAsia="Arial" w:hAnsi="Arial" w:cs="Arial"/>
          <w:color w:val="000000"/>
          <w:sz w:val="20"/>
          <w:szCs w:val="20"/>
        </w:rPr>
        <w:t xml:space="preserve"> students (about 48%) at High or Very High risk, early-warning alerts and adviser follow-ups should be triggered as soon as engagement drops.</w:t>
      </w:r>
    </w:p>
    <w:p w14:paraId="254B5AA1" w14:textId="77777777" w:rsidR="00B0508E" w:rsidRDefault="00A72CE2">
      <w:pPr>
        <w:numPr>
          <w:ilvl w:val="0"/>
          <w:numId w:val="1"/>
        </w:numPr>
        <w:spacing w:after="120" w:line="264" w:lineRule="auto"/>
        <w:jc w:val="both"/>
        <w:rPr>
          <w:rFonts w:ascii="Arial" w:eastAsia="Arial" w:hAnsi="Arial" w:cs="Arial"/>
          <w:sz w:val="20"/>
        </w:rPr>
      </w:pPr>
      <w:r>
        <w:rPr>
          <w:rFonts w:ascii="Arial" w:eastAsia="Arial" w:hAnsi="Arial" w:cs="Arial"/>
          <w:b/>
          <w:bCs/>
          <w:color w:val="000000"/>
          <w:sz w:val="20"/>
          <w:szCs w:val="20"/>
        </w:rPr>
        <w:t>Monitor continuously.</w:t>
      </w:r>
      <w:r>
        <w:rPr>
          <w:rFonts w:ascii="Arial" w:eastAsia="Arial" w:hAnsi="Arial" w:cs="Arial"/>
          <w:color w:val="000000"/>
          <w:sz w:val="20"/>
          <w:szCs w:val="20"/>
        </w:rPr>
        <w:t xml:space="preserve"> The interactive drill-downs allow advisers to filter by region, education, gender and engagement level and to act on the segments that need attention.</w:t>
      </w:r>
    </w:p>
    <w:p w14:paraId="56E09B9E" w14:textId="77777777" w:rsidR="00B0508E" w:rsidRDefault="00B0508E">
      <w:pPr>
        <w:spacing w:before="240" w:after="0"/>
        <w:rPr>
          <w:rFonts w:ascii="Arial" w:eastAsia="Arial" w:hAnsi="Arial" w:cs="Arial"/>
          <w:sz w:val="18"/>
        </w:rPr>
      </w:pPr>
    </w:p>
    <w:sectPr w:rsidR="00B0508E" w:rsidSect="00B0508E">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A584D0C-34E2-4CB7-A6FB-66925FBE9D6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FC9ED59-136C-4412-AD35-F2893A10C760}"/>
    <w:embedBold r:id="rId3" w:fontKey="{231DF941-7FF5-4168-BC86-5A25D9EE15F5}"/>
  </w:font>
  <w:font w:name="Georgia">
    <w:panose1 w:val="02040502050405020303"/>
    <w:charset w:val="00"/>
    <w:family w:val="roman"/>
    <w:pitch w:val="variable"/>
    <w:sig w:usb0="00000287" w:usb1="00000000" w:usb2="00000000" w:usb3="00000000" w:csb0="0000009F" w:csb1="00000000"/>
    <w:embedItalic r:id="rId4" w:fontKey="{FB11732E-C4BA-4AB4-A9E5-5786A4723221}"/>
  </w:font>
  <w:font w:name="Tahoma">
    <w:panose1 w:val="020B0604030504040204"/>
    <w:charset w:val="00"/>
    <w:family w:val="swiss"/>
    <w:pitch w:val="variable"/>
    <w:sig w:usb0="E1002EFF" w:usb1="C000605B" w:usb2="00000029" w:usb3="00000000" w:csb0="000101FF" w:csb1="00000000"/>
    <w:embedRegular r:id="rId5" w:fontKey="{0EF99BB7-BC18-4A8B-89F7-D65BF3825B60}"/>
  </w:font>
  <w:font w:name="Cambria">
    <w:panose1 w:val="02040503050406030204"/>
    <w:charset w:val="00"/>
    <w:family w:val="roman"/>
    <w:pitch w:val="variable"/>
    <w:sig w:usb0="E00006FF" w:usb1="420024FF" w:usb2="02000000" w:usb3="00000000" w:csb0="0000019F" w:csb1="00000000"/>
    <w:embedRegular r:id="rId6" w:fontKey="{67D72F18-C00B-4E52-ACA0-1F853E8493B5}"/>
    <w:embedBold r:id="rId7" w:fontKey="{741E5479-62BB-40AD-BA9C-8723F9519591}"/>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A28E5486-D18C-4FDB-9CD1-BF352943DFE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B1C1F"/>
    <w:multiLevelType w:val="multilevel"/>
    <w:tmpl w:val="1E0C1F6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EDD424A"/>
    <w:multiLevelType w:val="multilevel"/>
    <w:tmpl w:val="90BC18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55306539"/>
    <w:multiLevelType w:val="multilevel"/>
    <w:tmpl w:val="261448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624B2E6A"/>
    <w:multiLevelType w:val="multilevel"/>
    <w:tmpl w:val="AF282B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787D175D"/>
    <w:multiLevelType w:val="multilevel"/>
    <w:tmpl w:val="228A78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B042E8F"/>
    <w:multiLevelType w:val="multilevel"/>
    <w:tmpl w:val="9FDEAD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02440562">
    <w:abstractNumId w:val="2"/>
  </w:num>
  <w:num w:numId="2" w16cid:durableId="560407435">
    <w:abstractNumId w:val="4"/>
  </w:num>
  <w:num w:numId="3" w16cid:durableId="137841170">
    <w:abstractNumId w:val="1"/>
  </w:num>
  <w:num w:numId="4" w16cid:durableId="216010351">
    <w:abstractNumId w:val="3"/>
  </w:num>
  <w:num w:numId="5" w16cid:durableId="1387488594">
    <w:abstractNumId w:val="5"/>
  </w:num>
  <w:num w:numId="6" w16cid:durableId="187329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0508E"/>
    <w:rsid w:val="002A103C"/>
    <w:rsid w:val="004A0312"/>
    <w:rsid w:val="00510F64"/>
    <w:rsid w:val="009C3059"/>
    <w:rsid w:val="00A04D67"/>
    <w:rsid w:val="00A72CE2"/>
    <w:rsid w:val="00AB38CC"/>
    <w:rsid w:val="00B0508E"/>
    <w:rsid w:val="00C0598D"/>
    <w:rsid w:val="00C6334A"/>
    <w:rsid w:val="00D1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8C8B1"/>
  <w15:docId w15:val="{3480DFEE-97DF-489D-9492-E3D151A41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8B3"/>
  </w:style>
  <w:style w:type="paragraph" w:styleId="Heading1">
    <w:name w:val="heading 1"/>
    <w:basedOn w:val="Normal"/>
    <w:next w:val="Normal"/>
    <w:uiPriority w:val="9"/>
    <w:qFormat/>
    <w:rsid w:val="00B0508E"/>
    <w:pPr>
      <w:keepNext/>
      <w:keepLines/>
      <w:spacing w:before="480" w:after="120"/>
      <w:outlineLvl w:val="0"/>
    </w:pPr>
    <w:rPr>
      <w:b/>
      <w:sz w:val="48"/>
      <w:szCs w:val="48"/>
    </w:rPr>
  </w:style>
  <w:style w:type="paragraph" w:styleId="Heading2">
    <w:name w:val="heading 2"/>
    <w:basedOn w:val="Normal"/>
    <w:next w:val="Normal"/>
    <w:uiPriority w:val="9"/>
    <w:semiHidden/>
    <w:unhideWhenUsed/>
    <w:qFormat/>
    <w:rsid w:val="00B0508E"/>
    <w:pPr>
      <w:keepNext/>
      <w:keepLines/>
      <w:spacing w:before="360" w:after="80"/>
      <w:outlineLvl w:val="1"/>
    </w:pPr>
    <w:rPr>
      <w:b/>
      <w:sz w:val="36"/>
      <w:szCs w:val="36"/>
    </w:rPr>
  </w:style>
  <w:style w:type="paragraph" w:styleId="Heading3">
    <w:name w:val="heading 3"/>
    <w:basedOn w:val="Normal"/>
    <w:next w:val="Normal"/>
    <w:uiPriority w:val="9"/>
    <w:semiHidden/>
    <w:unhideWhenUsed/>
    <w:qFormat/>
    <w:rsid w:val="00B0508E"/>
    <w:pPr>
      <w:keepNext/>
      <w:keepLines/>
      <w:spacing w:before="280" w:after="80"/>
      <w:outlineLvl w:val="2"/>
    </w:pPr>
    <w:rPr>
      <w:b/>
      <w:sz w:val="28"/>
      <w:szCs w:val="28"/>
    </w:rPr>
  </w:style>
  <w:style w:type="paragraph" w:styleId="Heading4">
    <w:name w:val="heading 4"/>
    <w:basedOn w:val="Normal"/>
    <w:next w:val="Normal"/>
    <w:uiPriority w:val="9"/>
    <w:semiHidden/>
    <w:unhideWhenUsed/>
    <w:qFormat/>
    <w:rsid w:val="00B0508E"/>
    <w:pPr>
      <w:keepNext/>
      <w:keepLines/>
      <w:spacing w:before="240" w:after="40"/>
      <w:outlineLvl w:val="3"/>
    </w:pPr>
    <w:rPr>
      <w:b/>
      <w:sz w:val="24"/>
      <w:szCs w:val="24"/>
    </w:rPr>
  </w:style>
  <w:style w:type="paragraph" w:styleId="Heading5">
    <w:name w:val="heading 5"/>
    <w:basedOn w:val="Normal"/>
    <w:next w:val="Normal"/>
    <w:uiPriority w:val="9"/>
    <w:semiHidden/>
    <w:unhideWhenUsed/>
    <w:qFormat/>
    <w:rsid w:val="00B0508E"/>
    <w:pPr>
      <w:keepNext/>
      <w:keepLines/>
      <w:spacing w:before="220" w:after="40"/>
      <w:outlineLvl w:val="4"/>
    </w:pPr>
    <w:rPr>
      <w:b/>
    </w:rPr>
  </w:style>
  <w:style w:type="paragraph" w:styleId="Heading6">
    <w:name w:val="heading 6"/>
    <w:basedOn w:val="Normal"/>
    <w:next w:val="Normal"/>
    <w:uiPriority w:val="9"/>
    <w:semiHidden/>
    <w:unhideWhenUsed/>
    <w:qFormat/>
    <w:rsid w:val="00B0508E"/>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B0508E"/>
    <w:tblPr>
      <w:tblCellMar>
        <w:top w:w="100" w:type="dxa"/>
        <w:left w:w="100" w:type="dxa"/>
        <w:bottom w:w="100" w:type="dxa"/>
        <w:right w:w="100" w:type="dxa"/>
      </w:tblCellMar>
    </w:tblPr>
  </w:style>
  <w:style w:type="paragraph" w:customStyle="1" w:styleId="Normal1">
    <w:name w:val="Normal1"/>
    <w:rsid w:val="00B0508E"/>
  </w:style>
  <w:style w:type="paragraph" w:styleId="Title">
    <w:name w:val="Title"/>
    <w:basedOn w:val="Normal"/>
    <w:next w:val="Normal"/>
    <w:uiPriority w:val="10"/>
    <w:qFormat/>
    <w:rsid w:val="00B0508E"/>
    <w:pPr>
      <w:keepNext/>
      <w:keepLines/>
      <w:spacing w:before="480" w:after="120"/>
    </w:pPr>
    <w:rPr>
      <w:b/>
      <w:sz w:val="72"/>
      <w:szCs w:val="72"/>
    </w:rPr>
  </w:style>
  <w:style w:type="character" w:styleId="Hyperlink">
    <w:name w:val="Hyperlink"/>
    <w:basedOn w:val="DefaultParagraphFont"/>
    <w:uiPriority w:val="99"/>
    <w:unhideWhenUsed/>
    <w:rsid w:val="007738B3"/>
    <w:rPr>
      <w:color w:val="0563C1" w:themeColor="hyperlink"/>
      <w:u w:val="single"/>
    </w:rPr>
  </w:style>
  <w:style w:type="paragraph" w:styleId="Subtitle">
    <w:name w:val="Subtitle"/>
    <w:basedOn w:val="Normal"/>
    <w:next w:val="Normal"/>
    <w:rsid w:val="00B0508E"/>
    <w:pPr>
      <w:keepNext/>
      <w:keepLines/>
      <w:spacing w:before="360" w:after="80"/>
    </w:pPr>
    <w:rPr>
      <w:rFonts w:ascii="Georgia" w:eastAsia="Georgia" w:hAnsi="Georgia" w:cs="Georgia"/>
      <w:i/>
      <w:iCs/>
      <w:color w:val="666666"/>
      <w:sz w:val="48"/>
      <w:szCs w:val="48"/>
    </w:rPr>
  </w:style>
  <w:style w:type="table" w:customStyle="1" w:styleId="a">
    <w:basedOn w:val="TableNormal"/>
    <w:rsid w:val="00B0508E"/>
    <w:pPr>
      <w:spacing w:after="0" w:line="240" w:lineRule="auto"/>
    </w:pPr>
    <w:tblPr>
      <w:tblStyleRowBandSize w:val="1"/>
      <w:tblStyleColBandSize w:val="1"/>
    </w:tblPr>
  </w:style>
  <w:style w:type="paragraph" w:styleId="NormalWeb">
    <w:name w:val="Normal (Web)"/>
    <w:basedOn w:val="Normal"/>
    <w:uiPriority w:val="99"/>
    <w:semiHidden/>
    <w:unhideWhenUsed/>
    <w:rsid w:val="00A206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20696"/>
    <w:rPr>
      <w:b/>
      <w:bCs/>
    </w:rPr>
  </w:style>
  <w:style w:type="paragraph" w:styleId="ListParagraph">
    <w:name w:val="List Paragraph"/>
    <w:basedOn w:val="Normal"/>
    <w:uiPriority w:val="34"/>
    <w:qFormat/>
    <w:rsid w:val="00642171"/>
    <w:pPr>
      <w:ind w:left="720"/>
      <w:contextualSpacing/>
    </w:pPr>
  </w:style>
  <w:style w:type="table" w:customStyle="1" w:styleId="a0">
    <w:basedOn w:val="TableNormal"/>
    <w:rsid w:val="00B0508E"/>
    <w:pPr>
      <w:spacing w:after="0" w:line="240" w:lineRule="auto"/>
    </w:pPr>
    <w:tblPr>
      <w:tblStyleRowBandSize w:val="1"/>
      <w:tblStyleColBandSize w:val="1"/>
    </w:tblPr>
  </w:style>
  <w:style w:type="paragraph" w:styleId="BalloonText">
    <w:name w:val="Balloon Text"/>
    <w:basedOn w:val="Normal"/>
    <w:link w:val="BalloonTextChar"/>
    <w:uiPriority w:val="99"/>
    <w:semiHidden/>
    <w:unhideWhenUsed/>
    <w:rsid w:val="00A04D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D6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s+0Rrp9EHFhGvgKKmLZ+cUxW7g==">CgMxLjA4AHIhMXpWUGI1SkpoNmlrd3JjTDdPakxwYlRsWmlxWHBla2dH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800</Words>
  <Characters>4560</Characters>
  <Application>Microsoft Office Word</Application>
  <DocSecurity>0</DocSecurity>
  <Lines>38</Lines>
  <Paragraphs>10</Paragraphs>
  <ScaleCrop>false</ScaleCrop>
  <Company/>
  <LinksUpToDate>false</LinksUpToDate>
  <CharactersWithSpaces>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SmarBridge ML</dc:creator>
  <cp:lastModifiedBy>MCA LAB</cp:lastModifiedBy>
  <cp:revision>5</cp:revision>
  <dcterms:created xsi:type="dcterms:W3CDTF">2026-09-19T11:07:00Z</dcterms:created>
  <dcterms:modified xsi:type="dcterms:W3CDTF">2026-09-21T08:56:00Z</dcterms:modified>
</cp:coreProperties>
</file>