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288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26R1-0Q3079 </w:t>
            </w:r>
          </w:p>
        </w:tc>
        <w:tc>
          <w:tcPr>
            <w:tcW w:type="dxa" w:w="2880"/>
          </w:tcPr>
          <w:p>
            <w:r>
              <w:t xml:space="preserve">26R2-0R7074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2880"/>
          </w:tcPr>
          <w:p>
            <w:r>
              <w:t xml:space="preserve">Safety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High </w:t>
            </w:r>
          </w:p>
        </w:tc>
        <w:tc>
          <w:tcPr>
            <w:tcW w:type="dxa" w:w="2880"/>
          </w:tcPr>
          <w:p>
            <w:r>
              <w:t xml:space="preserve">Low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Auto-on </w:t>
            </w:r>
          </w:p>
        </w:tc>
        <w:tc>
          <w:tcPr>
            <w:tcW w:type="dxa" w:w="288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Link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288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Low </w:t>
            </w:r>
          </w:p>
        </w:tc>
        <w:tc>
          <w:tcPr>
            <w:tcW w:type="dxa" w:w="2880"/>
          </w:tcPr>
          <w:p>
            <w:r>
              <w:t xml:space="preserve">Medium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Record Removed</w:t>
            </w:r>
          </w:p>
        </w:tc>
        <w:tc>
          <w:tcPr>
            <w:tcW w:type="dxa" w:w="288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