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5331787"/>
        <w:docPartObj>
          <w:docPartGallery w:val="Table of Contents"/>
          <w:docPartUnique/>
        </w:docPartObj>
      </w:sdtPr>
      <w:sdtContent>
        <w:p w:rsidR="00BB3673" w:rsidRDefault="00BB3673">
          <w:pPr>
            <w:pStyle w:val="TOCHeading"/>
          </w:pPr>
          <w:r>
            <w:t>Contents</w:t>
          </w:r>
        </w:p>
        <w:p w:rsidR="0096033C" w:rsidRDefault="00DB4C64">
          <w:pPr>
            <w:pStyle w:val="TOC1"/>
            <w:tabs>
              <w:tab w:val="right" w:leader="dot" w:pos="9350"/>
            </w:tabs>
            <w:rPr>
              <w:rFonts w:eastAsiaTheme="minorEastAsia"/>
              <w:noProof/>
            </w:rPr>
          </w:pPr>
          <w:r>
            <w:fldChar w:fldCharType="begin"/>
          </w:r>
          <w:r w:rsidR="00BB3673">
            <w:instrText xml:space="preserve"> TOC \o "1-3" \h \z \u </w:instrText>
          </w:r>
          <w:r>
            <w:fldChar w:fldCharType="separate"/>
          </w:r>
          <w:hyperlink w:anchor="_Toc386652644" w:history="1">
            <w:r w:rsidR="0096033C" w:rsidRPr="00C73793">
              <w:rPr>
                <w:rStyle w:val="Hyperlink"/>
                <w:noProof/>
              </w:rPr>
              <w:t>Introduction</w:t>
            </w:r>
            <w:r w:rsidR="0096033C">
              <w:rPr>
                <w:noProof/>
                <w:webHidden/>
              </w:rPr>
              <w:tab/>
            </w:r>
            <w:r w:rsidR="0096033C">
              <w:rPr>
                <w:noProof/>
                <w:webHidden/>
              </w:rPr>
              <w:fldChar w:fldCharType="begin"/>
            </w:r>
            <w:r w:rsidR="0096033C">
              <w:rPr>
                <w:noProof/>
                <w:webHidden/>
              </w:rPr>
              <w:instrText xml:space="preserve"> PAGEREF _Toc386652644 \h </w:instrText>
            </w:r>
            <w:r w:rsidR="0096033C">
              <w:rPr>
                <w:noProof/>
                <w:webHidden/>
              </w:rPr>
            </w:r>
            <w:r w:rsidR="0096033C">
              <w:rPr>
                <w:noProof/>
                <w:webHidden/>
              </w:rPr>
              <w:fldChar w:fldCharType="separate"/>
            </w:r>
            <w:r w:rsidR="0096033C">
              <w:rPr>
                <w:noProof/>
                <w:webHidden/>
              </w:rPr>
              <w:t>2</w:t>
            </w:r>
            <w:r w:rsidR="0096033C">
              <w:rPr>
                <w:noProof/>
                <w:webHidden/>
              </w:rPr>
              <w:fldChar w:fldCharType="end"/>
            </w:r>
          </w:hyperlink>
        </w:p>
        <w:p w:rsidR="0096033C" w:rsidRDefault="0096033C">
          <w:pPr>
            <w:pStyle w:val="TOC1"/>
            <w:tabs>
              <w:tab w:val="right" w:leader="dot" w:pos="9350"/>
            </w:tabs>
            <w:rPr>
              <w:rFonts w:eastAsiaTheme="minorEastAsia"/>
              <w:noProof/>
            </w:rPr>
          </w:pPr>
          <w:hyperlink w:anchor="_Toc386652645" w:history="1">
            <w:r w:rsidRPr="00C73793">
              <w:rPr>
                <w:rStyle w:val="Hyperlink"/>
                <w:noProof/>
              </w:rPr>
              <w:t>OEM License Information</w:t>
            </w:r>
            <w:r>
              <w:rPr>
                <w:noProof/>
                <w:webHidden/>
              </w:rPr>
              <w:tab/>
            </w:r>
            <w:r>
              <w:rPr>
                <w:noProof/>
                <w:webHidden/>
              </w:rPr>
              <w:fldChar w:fldCharType="begin"/>
            </w:r>
            <w:r>
              <w:rPr>
                <w:noProof/>
                <w:webHidden/>
              </w:rPr>
              <w:instrText xml:space="preserve"> PAGEREF _Toc386652645 \h </w:instrText>
            </w:r>
            <w:r>
              <w:rPr>
                <w:noProof/>
                <w:webHidden/>
              </w:rPr>
            </w:r>
            <w:r>
              <w:rPr>
                <w:noProof/>
                <w:webHidden/>
              </w:rPr>
              <w:fldChar w:fldCharType="separate"/>
            </w:r>
            <w:r>
              <w:rPr>
                <w:noProof/>
                <w:webHidden/>
              </w:rPr>
              <w:t>2</w:t>
            </w:r>
            <w:r>
              <w:rPr>
                <w:noProof/>
                <w:webHidden/>
              </w:rPr>
              <w:fldChar w:fldCharType="end"/>
            </w:r>
          </w:hyperlink>
        </w:p>
        <w:p w:rsidR="0096033C" w:rsidRDefault="0096033C">
          <w:pPr>
            <w:pStyle w:val="TOC1"/>
            <w:tabs>
              <w:tab w:val="right" w:leader="dot" w:pos="9350"/>
            </w:tabs>
            <w:rPr>
              <w:rFonts w:eastAsiaTheme="minorEastAsia"/>
              <w:noProof/>
            </w:rPr>
          </w:pPr>
          <w:hyperlink w:anchor="_Toc386652646" w:history="1">
            <w:r w:rsidRPr="00C73793">
              <w:rPr>
                <w:rStyle w:val="Hyperlink"/>
                <w:noProof/>
              </w:rPr>
              <w:t>Object CRUD Access Comparison</w:t>
            </w:r>
            <w:r>
              <w:rPr>
                <w:noProof/>
                <w:webHidden/>
              </w:rPr>
              <w:tab/>
            </w:r>
            <w:r>
              <w:rPr>
                <w:noProof/>
                <w:webHidden/>
              </w:rPr>
              <w:fldChar w:fldCharType="begin"/>
            </w:r>
            <w:r>
              <w:rPr>
                <w:noProof/>
                <w:webHidden/>
              </w:rPr>
              <w:instrText xml:space="preserve"> PAGEREF _Toc386652646 \h </w:instrText>
            </w:r>
            <w:r>
              <w:rPr>
                <w:noProof/>
                <w:webHidden/>
              </w:rPr>
            </w:r>
            <w:r>
              <w:rPr>
                <w:noProof/>
                <w:webHidden/>
              </w:rPr>
              <w:fldChar w:fldCharType="separate"/>
            </w:r>
            <w:r>
              <w:rPr>
                <w:noProof/>
                <w:webHidden/>
              </w:rPr>
              <w:t>2</w:t>
            </w:r>
            <w:r>
              <w:rPr>
                <w:noProof/>
                <w:webHidden/>
              </w:rPr>
              <w:fldChar w:fldCharType="end"/>
            </w:r>
          </w:hyperlink>
        </w:p>
        <w:p w:rsidR="0096033C" w:rsidRDefault="0096033C">
          <w:pPr>
            <w:pStyle w:val="TOC1"/>
            <w:tabs>
              <w:tab w:val="right" w:leader="dot" w:pos="9350"/>
            </w:tabs>
            <w:rPr>
              <w:rFonts w:eastAsiaTheme="minorEastAsia"/>
              <w:noProof/>
            </w:rPr>
          </w:pPr>
          <w:hyperlink w:anchor="_Toc386652647" w:history="1">
            <w:r w:rsidRPr="00C73793">
              <w:rPr>
                <w:rStyle w:val="Hyperlink"/>
                <w:noProof/>
              </w:rPr>
              <w:t>MCA App Feature wise comparison</w:t>
            </w:r>
            <w:r>
              <w:rPr>
                <w:noProof/>
                <w:webHidden/>
              </w:rPr>
              <w:tab/>
            </w:r>
            <w:r>
              <w:rPr>
                <w:noProof/>
                <w:webHidden/>
              </w:rPr>
              <w:fldChar w:fldCharType="begin"/>
            </w:r>
            <w:r>
              <w:rPr>
                <w:noProof/>
                <w:webHidden/>
              </w:rPr>
              <w:instrText xml:space="preserve"> PAGEREF _Toc386652647 \h </w:instrText>
            </w:r>
            <w:r>
              <w:rPr>
                <w:noProof/>
                <w:webHidden/>
              </w:rPr>
            </w:r>
            <w:r>
              <w:rPr>
                <w:noProof/>
                <w:webHidden/>
              </w:rPr>
              <w:fldChar w:fldCharType="separate"/>
            </w:r>
            <w:r>
              <w:rPr>
                <w:noProof/>
                <w:webHidden/>
              </w:rPr>
              <w:t>3</w:t>
            </w:r>
            <w:r>
              <w:rPr>
                <w:noProof/>
                <w:webHidden/>
              </w:rPr>
              <w:fldChar w:fldCharType="end"/>
            </w:r>
          </w:hyperlink>
        </w:p>
        <w:p w:rsidR="0096033C" w:rsidRDefault="0096033C">
          <w:pPr>
            <w:pStyle w:val="TOC1"/>
            <w:tabs>
              <w:tab w:val="right" w:leader="dot" w:pos="9350"/>
            </w:tabs>
            <w:rPr>
              <w:rFonts w:eastAsiaTheme="minorEastAsia"/>
              <w:noProof/>
            </w:rPr>
          </w:pPr>
          <w:hyperlink w:anchor="_Toc386652648" w:history="1">
            <w:r w:rsidRPr="00C73793">
              <w:rPr>
                <w:rStyle w:val="Hyperlink"/>
                <w:noProof/>
              </w:rPr>
              <w:t>Development Effort Esti</w:t>
            </w:r>
            <w:r w:rsidRPr="00C73793">
              <w:rPr>
                <w:rStyle w:val="Hyperlink"/>
                <w:noProof/>
              </w:rPr>
              <w:t>m</w:t>
            </w:r>
            <w:r w:rsidRPr="00C73793">
              <w:rPr>
                <w:rStyle w:val="Hyperlink"/>
                <w:noProof/>
              </w:rPr>
              <w:t>ates</w:t>
            </w:r>
            <w:r>
              <w:rPr>
                <w:noProof/>
                <w:webHidden/>
              </w:rPr>
              <w:tab/>
            </w:r>
            <w:r>
              <w:rPr>
                <w:noProof/>
                <w:webHidden/>
              </w:rPr>
              <w:fldChar w:fldCharType="begin"/>
            </w:r>
            <w:r>
              <w:rPr>
                <w:noProof/>
                <w:webHidden/>
              </w:rPr>
              <w:instrText xml:space="preserve"> PAGEREF _Toc386652648 \h </w:instrText>
            </w:r>
            <w:r>
              <w:rPr>
                <w:noProof/>
                <w:webHidden/>
              </w:rPr>
            </w:r>
            <w:r>
              <w:rPr>
                <w:noProof/>
                <w:webHidden/>
              </w:rPr>
              <w:fldChar w:fldCharType="separate"/>
            </w:r>
            <w:r>
              <w:rPr>
                <w:noProof/>
                <w:webHidden/>
              </w:rPr>
              <w:t>5</w:t>
            </w:r>
            <w:r>
              <w:rPr>
                <w:noProof/>
                <w:webHidden/>
              </w:rPr>
              <w:fldChar w:fldCharType="end"/>
            </w:r>
          </w:hyperlink>
        </w:p>
        <w:p w:rsidR="00BB3673" w:rsidRDefault="00DB4C64">
          <w:r>
            <w:fldChar w:fldCharType="end"/>
          </w:r>
        </w:p>
      </w:sdtContent>
    </w:sdt>
    <w:p w:rsidR="00331242" w:rsidRDefault="00331242"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BB3673" w:rsidRDefault="00BB3673" w:rsidP="00331242">
      <w:pPr>
        <w:ind w:left="-720"/>
      </w:pPr>
    </w:p>
    <w:p w:rsidR="003C100B" w:rsidRPr="00331242" w:rsidRDefault="0057187F" w:rsidP="00BB3673">
      <w:pPr>
        <w:pStyle w:val="Heading1"/>
        <w:ind w:hanging="720"/>
      </w:pPr>
      <w:bookmarkStart w:id="0" w:name="_Toc386652644"/>
      <w:r w:rsidRPr="00331242">
        <w:t>Introduction</w:t>
      </w:r>
      <w:bookmarkEnd w:id="0"/>
    </w:p>
    <w:p w:rsidR="0057187F" w:rsidRDefault="0057187F" w:rsidP="0057187F">
      <w:pPr>
        <w:ind w:left="-720"/>
      </w:pPr>
      <w:r>
        <w:t>This document enlists the considerations and aspects to be made for creating applications leveraging the OEM Model for Salesforce AppExchange Market place.</w:t>
      </w:r>
    </w:p>
    <w:p w:rsidR="00331242" w:rsidRPr="00331242" w:rsidRDefault="001D0373" w:rsidP="00BB3673">
      <w:pPr>
        <w:pStyle w:val="Heading1"/>
        <w:ind w:hanging="720"/>
      </w:pPr>
      <w:bookmarkStart w:id="1" w:name="_Toc386652645"/>
      <w:r>
        <w:t xml:space="preserve">OEM </w:t>
      </w:r>
      <w:r w:rsidR="000E69D9">
        <w:t>License Information</w:t>
      </w:r>
      <w:bookmarkEnd w:id="1"/>
    </w:p>
    <w:p w:rsidR="00331242" w:rsidRDefault="00331242" w:rsidP="00331242">
      <w:pPr>
        <w:ind w:left="-720"/>
      </w:pPr>
      <w:r>
        <w:t>Referred to as the OEM Embedded license is nothing but a full Force.com license with contractual restrictions. This license restricts the Create, Read, Update and Delete functionality on the following standard Salesforce objects as they are unavailable to users using this license.</w:t>
      </w:r>
    </w:p>
    <w:p w:rsidR="00331242" w:rsidRDefault="00331242" w:rsidP="00331242">
      <w:pPr>
        <w:pStyle w:val="ListParagraph"/>
        <w:numPr>
          <w:ilvl w:val="0"/>
          <w:numId w:val="3"/>
        </w:numPr>
      </w:pPr>
      <w:r>
        <w:t>Leads</w:t>
      </w:r>
    </w:p>
    <w:p w:rsidR="00331242" w:rsidRDefault="00331242" w:rsidP="00331242">
      <w:pPr>
        <w:pStyle w:val="ListParagraph"/>
        <w:numPr>
          <w:ilvl w:val="0"/>
          <w:numId w:val="3"/>
        </w:numPr>
      </w:pPr>
      <w:r>
        <w:t>Opportunities</w:t>
      </w:r>
    </w:p>
    <w:p w:rsidR="00331242" w:rsidRDefault="00331242" w:rsidP="00331242">
      <w:pPr>
        <w:pStyle w:val="ListParagraph"/>
        <w:numPr>
          <w:ilvl w:val="0"/>
          <w:numId w:val="3"/>
        </w:numPr>
      </w:pPr>
      <w:r>
        <w:t>Products</w:t>
      </w:r>
    </w:p>
    <w:p w:rsidR="00331242" w:rsidRDefault="00331242" w:rsidP="00331242">
      <w:pPr>
        <w:pStyle w:val="ListParagraph"/>
        <w:numPr>
          <w:ilvl w:val="0"/>
          <w:numId w:val="3"/>
        </w:numPr>
      </w:pPr>
      <w:r>
        <w:t>Cases</w:t>
      </w:r>
    </w:p>
    <w:p w:rsidR="00331242" w:rsidRDefault="00331242" w:rsidP="00331242">
      <w:pPr>
        <w:pStyle w:val="ListParagraph"/>
        <w:numPr>
          <w:ilvl w:val="0"/>
          <w:numId w:val="3"/>
        </w:numPr>
      </w:pPr>
      <w:r>
        <w:t>Solutions</w:t>
      </w:r>
    </w:p>
    <w:p w:rsidR="00331242" w:rsidRDefault="00331242" w:rsidP="00331242">
      <w:pPr>
        <w:pStyle w:val="ListParagraph"/>
        <w:numPr>
          <w:ilvl w:val="0"/>
          <w:numId w:val="3"/>
        </w:numPr>
      </w:pPr>
      <w:r>
        <w:t>Campaigns</w:t>
      </w:r>
    </w:p>
    <w:p w:rsidR="000E69D9" w:rsidRDefault="000E69D9" w:rsidP="000E69D9">
      <w:pPr>
        <w:pStyle w:val="Heading1"/>
        <w:ind w:hanging="720"/>
      </w:pPr>
      <w:bookmarkStart w:id="2" w:name="_Toc386652646"/>
      <w:r>
        <w:t xml:space="preserve">Object </w:t>
      </w:r>
      <w:r w:rsidR="003E5E6B">
        <w:t xml:space="preserve">CRUD </w:t>
      </w:r>
      <w:r>
        <w:t>Access Comparison</w:t>
      </w:r>
      <w:bookmarkEnd w:id="2"/>
    </w:p>
    <w:p w:rsidR="000E69D9" w:rsidRDefault="000E69D9" w:rsidP="0057187F">
      <w:pPr>
        <w:ind w:left="-720"/>
      </w:pPr>
      <w:r>
        <w:t xml:space="preserve">The below snapshot provides </w:t>
      </w:r>
      <w:r w:rsidR="00BF0501">
        <w:t xml:space="preserve">details of the </w:t>
      </w:r>
      <w:r>
        <w:t xml:space="preserve">CRUD capabilities </w:t>
      </w:r>
      <w:r w:rsidR="00BF0501">
        <w:t xml:space="preserve">available </w:t>
      </w:r>
      <w:r>
        <w:t>for</w:t>
      </w:r>
      <w:r w:rsidR="00BF0501">
        <w:t xml:space="preserve"> the standard Salesforce objects for users having</w:t>
      </w:r>
      <w:r>
        <w:t xml:space="preserve"> OEM </w:t>
      </w:r>
      <w:r w:rsidR="00BF0501">
        <w:t xml:space="preserve">Embedded </w:t>
      </w:r>
      <w:r>
        <w:t>licenses</w:t>
      </w:r>
      <w:r w:rsidR="00BF0501">
        <w:t>.</w:t>
      </w:r>
    </w:p>
    <w:p w:rsidR="000E69D9" w:rsidRDefault="00245E85" w:rsidP="00BF0501">
      <w:pPr>
        <w:ind w:left="-720"/>
        <w:jc w:val="center"/>
      </w:pPr>
      <w:r>
        <w:rPr>
          <w:noProof/>
        </w:rPr>
        <w:lastRenderedPageBreak/>
        <w:drawing>
          <wp:inline distT="0" distB="0" distL="0" distR="0">
            <wp:extent cx="5168265" cy="3840480"/>
            <wp:effectExtent l="19050" t="0" r="0" b="0"/>
            <wp:docPr id="2" name="Picture 2" descr="C:\Users\Shreyas\Desktop\OEM CRUD 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esktop\OEM CRUD Access.png"/>
                    <pic:cNvPicPr>
                      <a:picLocks noChangeAspect="1" noChangeArrowheads="1"/>
                    </pic:cNvPicPr>
                  </pic:nvPicPr>
                  <pic:blipFill>
                    <a:blip r:embed="rId8" cstate="print"/>
                    <a:srcRect/>
                    <a:stretch>
                      <a:fillRect/>
                    </a:stretch>
                  </pic:blipFill>
                  <pic:spPr bwMode="auto">
                    <a:xfrm>
                      <a:off x="0" y="0"/>
                      <a:ext cx="5168265" cy="3840480"/>
                    </a:xfrm>
                    <a:prstGeom prst="rect">
                      <a:avLst/>
                    </a:prstGeom>
                    <a:noFill/>
                    <a:ln w="9525">
                      <a:noFill/>
                      <a:miter lim="800000"/>
                      <a:headEnd/>
                      <a:tailEnd/>
                    </a:ln>
                  </pic:spPr>
                </pic:pic>
              </a:graphicData>
            </a:graphic>
          </wp:inline>
        </w:drawing>
      </w:r>
    </w:p>
    <w:p w:rsidR="000E69D9" w:rsidRDefault="00810BD9" w:rsidP="00810BD9">
      <w:pPr>
        <w:pStyle w:val="Heading1"/>
        <w:ind w:left="-720"/>
      </w:pPr>
      <w:bookmarkStart w:id="3" w:name="_Toc386652647"/>
      <w:r>
        <w:t>MCA App Feature wise comparison</w:t>
      </w:r>
      <w:bookmarkEnd w:id="3"/>
    </w:p>
    <w:p w:rsidR="00810BD9" w:rsidRDefault="00810BD9" w:rsidP="0057187F">
      <w:pPr>
        <w:ind w:left="-720"/>
      </w:pPr>
      <w:r>
        <w:t xml:space="preserve">The below section outlines the details of </w:t>
      </w:r>
      <w:r w:rsidR="00DC32D2">
        <w:t xml:space="preserve">all the objects </w:t>
      </w:r>
      <w:r>
        <w:t xml:space="preserve">leveraged in the MCA App and the </w:t>
      </w:r>
      <w:r w:rsidR="00DC32D2">
        <w:t>functionalities using them</w:t>
      </w:r>
      <w:r w:rsidR="00D113A5">
        <w:t>.</w:t>
      </w:r>
    </w:p>
    <w:tbl>
      <w:tblPr>
        <w:tblW w:w="9867" w:type="dxa"/>
        <w:tblInd w:w="-342" w:type="dxa"/>
        <w:tblLook w:val="04A0"/>
      </w:tblPr>
      <w:tblGrid>
        <w:gridCol w:w="990"/>
        <w:gridCol w:w="1800"/>
        <w:gridCol w:w="2417"/>
        <w:gridCol w:w="4660"/>
      </w:tblGrid>
      <w:tr w:rsidR="00DC32D2" w:rsidRPr="00DC32D2" w:rsidTr="00DC32D2">
        <w:trPr>
          <w:trHeight w:val="315"/>
        </w:trPr>
        <w:tc>
          <w:tcPr>
            <w:tcW w:w="990" w:type="dxa"/>
            <w:tcBorders>
              <w:top w:val="single" w:sz="4" w:space="0" w:color="000000"/>
              <w:left w:val="single" w:sz="4" w:space="0" w:color="000000"/>
              <w:bottom w:val="single" w:sz="4" w:space="0" w:color="000000"/>
              <w:right w:val="single" w:sz="4" w:space="0" w:color="000000"/>
            </w:tcBorders>
            <w:shd w:val="clear" w:color="B3B3B3" w:fill="B3B3B3"/>
            <w:vAlign w:val="center"/>
          </w:tcPr>
          <w:p w:rsidR="00DC32D2" w:rsidRPr="00DC32D2" w:rsidRDefault="00DC32D2" w:rsidP="00DC32D2">
            <w:pPr>
              <w:spacing w:after="0" w:line="240" w:lineRule="auto"/>
              <w:jc w:val="center"/>
              <w:rPr>
                <w:rFonts w:ascii="Calibri" w:eastAsia="Times New Roman" w:hAnsi="Calibri" w:cs="Arial"/>
                <w:b/>
                <w:bCs/>
                <w:color w:val="000000"/>
                <w:sz w:val="24"/>
                <w:szCs w:val="24"/>
              </w:rPr>
            </w:pPr>
            <w:r>
              <w:rPr>
                <w:rFonts w:ascii="Calibri" w:eastAsia="Times New Roman" w:hAnsi="Calibri" w:cs="Arial"/>
                <w:b/>
                <w:bCs/>
                <w:color w:val="000000"/>
                <w:sz w:val="24"/>
                <w:szCs w:val="24"/>
              </w:rPr>
              <w:t>Sr. No.</w:t>
            </w:r>
          </w:p>
        </w:tc>
        <w:tc>
          <w:tcPr>
            <w:tcW w:w="1800" w:type="dxa"/>
            <w:tcBorders>
              <w:top w:val="single" w:sz="4" w:space="0" w:color="000000"/>
              <w:left w:val="single" w:sz="4" w:space="0" w:color="000000"/>
              <w:bottom w:val="single" w:sz="4" w:space="0" w:color="000000"/>
              <w:right w:val="single" w:sz="4" w:space="0" w:color="auto"/>
            </w:tcBorders>
            <w:shd w:val="clear" w:color="B3B3B3" w:fill="B3B3B3"/>
            <w:vAlign w:val="center"/>
            <w:hideMark/>
          </w:tcPr>
          <w:p w:rsidR="00DC32D2" w:rsidRPr="00DC32D2" w:rsidRDefault="00DC32D2" w:rsidP="00DC32D2">
            <w:pPr>
              <w:spacing w:after="0" w:line="240" w:lineRule="auto"/>
              <w:jc w:val="center"/>
              <w:rPr>
                <w:rFonts w:ascii="Calibri" w:eastAsia="Times New Roman" w:hAnsi="Calibri" w:cs="Arial"/>
                <w:b/>
                <w:bCs/>
                <w:color w:val="000000"/>
                <w:sz w:val="24"/>
                <w:szCs w:val="24"/>
              </w:rPr>
            </w:pPr>
            <w:r w:rsidRPr="00DC32D2">
              <w:rPr>
                <w:rFonts w:ascii="Calibri" w:eastAsia="Times New Roman" w:hAnsi="Calibri" w:cs="Arial"/>
                <w:b/>
                <w:bCs/>
                <w:color w:val="000000"/>
                <w:sz w:val="24"/>
                <w:szCs w:val="24"/>
              </w:rPr>
              <w:t>Object</w:t>
            </w:r>
          </w:p>
        </w:tc>
        <w:tc>
          <w:tcPr>
            <w:tcW w:w="2417" w:type="dxa"/>
            <w:tcBorders>
              <w:top w:val="single" w:sz="4" w:space="0" w:color="auto"/>
              <w:left w:val="single" w:sz="4" w:space="0" w:color="auto"/>
              <w:bottom w:val="single" w:sz="4" w:space="0" w:color="auto"/>
              <w:right w:val="single" w:sz="4" w:space="0" w:color="auto"/>
            </w:tcBorders>
            <w:shd w:val="clear" w:color="B3B3B3" w:fill="B3B3B3"/>
            <w:vAlign w:val="center"/>
          </w:tcPr>
          <w:p w:rsidR="00DC32D2" w:rsidRPr="00DC32D2" w:rsidRDefault="00DC32D2" w:rsidP="00DC32D2">
            <w:pPr>
              <w:spacing w:after="0" w:line="240" w:lineRule="auto"/>
              <w:jc w:val="center"/>
              <w:rPr>
                <w:rFonts w:ascii="Calibri" w:eastAsia="Times New Roman" w:hAnsi="Calibri" w:cs="Arial"/>
                <w:b/>
                <w:bCs/>
                <w:color w:val="000000"/>
                <w:sz w:val="24"/>
                <w:szCs w:val="24"/>
              </w:rPr>
            </w:pPr>
            <w:r>
              <w:rPr>
                <w:rFonts w:ascii="Calibri" w:eastAsia="Times New Roman" w:hAnsi="Calibri" w:cs="Arial"/>
                <w:b/>
                <w:bCs/>
                <w:color w:val="000000"/>
                <w:sz w:val="24"/>
                <w:szCs w:val="24"/>
              </w:rPr>
              <w:t>Object Type</w:t>
            </w:r>
          </w:p>
        </w:tc>
        <w:tc>
          <w:tcPr>
            <w:tcW w:w="4660" w:type="dxa"/>
            <w:tcBorders>
              <w:top w:val="single" w:sz="4" w:space="0" w:color="000000"/>
              <w:left w:val="single" w:sz="4" w:space="0" w:color="auto"/>
              <w:bottom w:val="single" w:sz="4" w:space="0" w:color="000000"/>
              <w:right w:val="single" w:sz="4" w:space="0" w:color="000000"/>
            </w:tcBorders>
            <w:shd w:val="clear" w:color="B3B3B3" w:fill="B3B3B3"/>
            <w:vAlign w:val="center"/>
            <w:hideMark/>
          </w:tcPr>
          <w:p w:rsidR="00DC32D2" w:rsidRPr="00DC32D2" w:rsidRDefault="00DC32D2" w:rsidP="00DC32D2">
            <w:pPr>
              <w:spacing w:after="0" w:line="240" w:lineRule="auto"/>
              <w:jc w:val="center"/>
              <w:rPr>
                <w:rFonts w:ascii="Calibri" w:eastAsia="Times New Roman" w:hAnsi="Calibri" w:cs="Arial"/>
                <w:b/>
                <w:bCs/>
                <w:color w:val="000000"/>
                <w:sz w:val="24"/>
                <w:szCs w:val="24"/>
              </w:rPr>
            </w:pPr>
            <w:r w:rsidRPr="00DC32D2">
              <w:rPr>
                <w:rFonts w:ascii="Calibri" w:eastAsia="Times New Roman" w:hAnsi="Calibri" w:cs="Arial"/>
                <w:b/>
                <w:bCs/>
                <w:color w:val="000000"/>
                <w:sz w:val="24"/>
                <w:szCs w:val="24"/>
              </w:rPr>
              <w:t>Functionality</w:t>
            </w:r>
          </w:p>
        </w:tc>
      </w:tr>
      <w:tr w:rsidR="00DC32D2" w:rsidRPr="00DC32D2" w:rsidTr="00DC32D2">
        <w:trPr>
          <w:trHeight w:val="630"/>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Account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Funding Application, Bank Tab, ISO Tab, Banking CC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Contact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Funding Application</w:t>
            </w:r>
          </w:p>
        </w:tc>
      </w:tr>
      <w:tr w:rsidR="00DC32D2" w:rsidRPr="00DC32D2" w:rsidTr="00DC32D2">
        <w:trPr>
          <w:trHeight w:val="94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3</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Opportunity</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Funding Application, Submission Wizard, Activity Count , Create Contract,  MCA Home Page, Manage Renewals, Offer Wizard</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4</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Lead</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Activity Count</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5</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Contract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Manage Renewals, Track Stage changes</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6</w:t>
            </w:r>
          </w:p>
        </w:tc>
        <w:tc>
          <w:tcPr>
            <w:tcW w:w="1800" w:type="dxa"/>
            <w:tcBorders>
              <w:top w:val="nil"/>
              <w:left w:val="single" w:sz="4" w:space="0" w:color="000000"/>
              <w:bottom w:val="single" w:sz="4" w:space="0" w:color="000000"/>
              <w:right w:val="single" w:sz="4" w:space="0" w:color="auto"/>
            </w:tcBorders>
            <w:shd w:val="clear" w:color="auto" w:fill="auto"/>
            <w:noWrap/>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Campaign</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nil"/>
              <w:left w:val="single" w:sz="4" w:space="0" w:color="auto"/>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Report,</w:t>
            </w:r>
            <w:r>
              <w:rPr>
                <w:rFonts w:ascii="Calibri" w:eastAsia="Times New Roman" w:hAnsi="Calibri" w:cs="Arial"/>
                <w:color w:val="000000"/>
                <w:sz w:val="24"/>
                <w:szCs w:val="24"/>
              </w:rPr>
              <w:t xml:space="preserve"> </w:t>
            </w:r>
            <w:r w:rsidRPr="00DC32D2">
              <w:rPr>
                <w:rFonts w:ascii="Calibri" w:eastAsia="Times New Roman" w:hAnsi="Calibri" w:cs="Arial"/>
                <w:color w:val="000000"/>
                <w:sz w:val="24"/>
                <w:szCs w:val="24"/>
              </w:rPr>
              <w:t>Dashboard, MCA Home Page</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7</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Program</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Submission Wizard,  MCA Home Page</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8</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Submission</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Submission Wizard</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9</w:t>
            </w:r>
          </w:p>
        </w:tc>
        <w:tc>
          <w:tcPr>
            <w:tcW w:w="1800" w:type="dxa"/>
            <w:tcBorders>
              <w:top w:val="nil"/>
              <w:left w:val="single" w:sz="4" w:space="0" w:color="000000"/>
              <w:bottom w:val="single" w:sz="4" w:space="0" w:color="000000"/>
              <w:right w:val="single" w:sz="4" w:space="0" w:color="auto"/>
            </w:tcBorders>
            <w:shd w:val="clear" w:color="auto" w:fill="auto"/>
            <w:noWrap/>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S</w:t>
            </w:r>
            <w:r>
              <w:rPr>
                <w:rFonts w:ascii="Calibri" w:eastAsia="Times New Roman" w:hAnsi="Calibri" w:cs="Arial"/>
                <w:color w:val="000000"/>
                <w:sz w:val="24"/>
                <w:szCs w:val="24"/>
              </w:rPr>
              <w:t>TIPS</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Roll Up on Opportunity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10</w:t>
            </w:r>
          </w:p>
        </w:tc>
        <w:tc>
          <w:tcPr>
            <w:tcW w:w="1800" w:type="dxa"/>
            <w:tcBorders>
              <w:top w:val="nil"/>
              <w:left w:val="single" w:sz="4" w:space="0" w:color="000000"/>
              <w:bottom w:val="single" w:sz="4" w:space="0" w:color="000000"/>
              <w:right w:val="single" w:sz="4" w:space="0" w:color="auto"/>
            </w:tcBorders>
            <w:shd w:val="clear" w:color="auto" w:fill="auto"/>
            <w:noWrap/>
            <w:vAlign w:val="center"/>
            <w:hideMark/>
          </w:tcPr>
          <w:p w:rsidR="00DC32D2" w:rsidRPr="00DC32D2" w:rsidRDefault="00DC32D2" w:rsidP="00DC32D2">
            <w:pPr>
              <w:spacing w:after="0" w:line="240" w:lineRule="auto"/>
              <w:rPr>
                <w:rFonts w:ascii="Arial" w:eastAsia="Times New Roman" w:hAnsi="Arial" w:cs="Arial"/>
                <w:color w:val="000000"/>
              </w:rPr>
            </w:pPr>
            <w:r w:rsidRPr="00DC32D2">
              <w:rPr>
                <w:rFonts w:ascii="Calibri" w:eastAsia="Times New Roman" w:hAnsi="Calibri" w:cs="Arial"/>
                <w:color w:val="000000"/>
                <w:sz w:val="24"/>
                <w:szCs w:val="24"/>
              </w:rPr>
              <w:t>Syndication</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Report,</w:t>
            </w:r>
            <w:r>
              <w:rPr>
                <w:rFonts w:ascii="Calibri" w:eastAsia="Times New Roman" w:hAnsi="Calibri" w:cs="Arial"/>
                <w:color w:val="000000"/>
                <w:sz w:val="24"/>
                <w:szCs w:val="24"/>
              </w:rPr>
              <w:t xml:space="preserve"> </w:t>
            </w:r>
            <w:r w:rsidRPr="00DC32D2">
              <w:rPr>
                <w:rFonts w:ascii="Calibri" w:eastAsia="Times New Roman" w:hAnsi="Calibri" w:cs="Arial"/>
                <w:color w:val="000000"/>
                <w:sz w:val="24"/>
                <w:szCs w:val="24"/>
              </w:rPr>
              <w:t>Dashboard, MCA Home Page</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lastRenderedPageBreak/>
              <w:t>11</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12</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Line Item</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 </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13</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Payable</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14</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Payable Line Item</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 </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15</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Receivable</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16</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Receivable Line Item Summary</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 </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17</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18</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Line Credit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19</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Line Debit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Transaction Functionality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20</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Offer</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Offer Wizard</w:t>
            </w:r>
          </w:p>
        </w:tc>
      </w:tr>
      <w:tr w:rsidR="00DC32D2" w:rsidRPr="00DC32D2" w:rsidTr="00DC32D2">
        <w:trPr>
          <w:trHeight w:val="315"/>
        </w:trPr>
        <w:tc>
          <w:tcPr>
            <w:tcW w:w="990" w:type="dxa"/>
            <w:tcBorders>
              <w:top w:val="nil"/>
              <w:left w:val="single" w:sz="4" w:space="0" w:color="000000"/>
              <w:bottom w:val="single" w:sz="4" w:space="0" w:color="auto"/>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21</w:t>
            </w:r>
          </w:p>
        </w:tc>
        <w:tc>
          <w:tcPr>
            <w:tcW w:w="1800" w:type="dxa"/>
            <w:tcBorders>
              <w:top w:val="nil"/>
              <w:left w:val="single" w:sz="4" w:space="0" w:color="000000"/>
              <w:bottom w:val="single" w:sz="4" w:space="0" w:color="auto"/>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Bank Statements</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auto"/>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Banking CC Functionality</w:t>
            </w:r>
          </w:p>
        </w:tc>
      </w:tr>
      <w:tr w:rsidR="00DC32D2" w:rsidRPr="00DC32D2" w:rsidTr="00DC32D2">
        <w:trPr>
          <w:trHeight w:val="315"/>
        </w:trPr>
        <w:tc>
          <w:tcPr>
            <w:tcW w:w="990" w:type="dxa"/>
            <w:tcBorders>
              <w:top w:val="single" w:sz="4" w:space="0" w:color="auto"/>
              <w:left w:val="single" w:sz="4" w:space="0" w:color="auto"/>
              <w:bottom w:val="single" w:sz="4" w:space="0" w:color="auto"/>
              <w:right w:val="single" w:sz="4" w:space="0" w:color="auto"/>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Credit Card Sales</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Banking CC Functionality</w:t>
            </w:r>
          </w:p>
        </w:tc>
      </w:tr>
      <w:tr w:rsidR="00DC32D2" w:rsidRPr="00DC32D2" w:rsidTr="00DC32D2">
        <w:trPr>
          <w:trHeight w:val="315"/>
        </w:trPr>
        <w:tc>
          <w:tcPr>
            <w:tcW w:w="990" w:type="dxa"/>
            <w:tcBorders>
              <w:top w:val="single" w:sz="4" w:space="0" w:color="auto"/>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23</w:t>
            </w:r>
          </w:p>
        </w:tc>
        <w:tc>
          <w:tcPr>
            <w:tcW w:w="1800" w:type="dxa"/>
            <w:tcBorders>
              <w:top w:val="single" w:sz="4" w:space="0" w:color="auto"/>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Required Document</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single" w:sz="4" w:space="0" w:color="auto"/>
              <w:left w:val="single" w:sz="4" w:space="0" w:color="auto"/>
              <w:bottom w:val="single" w:sz="4" w:space="0" w:color="000000"/>
              <w:right w:val="single" w:sz="4" w:space="0" w:color="000000"/>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Submission Wizard</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24</w:t>
            </w:r>
          </w:p>
        </w:tc>
        <w:tc>
          <w:tcPr>
            <w:tcW w:w="1800" w:type="dxa"/>
            <w:tcBorders>
              <w:top w:val="nil"/>
              <w:left w:val="single" w:sz="4" w:space="0" w:color="000000"/>
              <w:bottom w:val="single" w:sz="4" w:space="0" w:color="000000"/>
              <w:right w:val="single" w:sz="4" w:space="0" w:color="auto"/>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Loan Balance</w:t>
            </w:r>
          </w:p>
        </w:tc>
        <w:tc>
          <w:tcPr>
            <w:tcW w:w="2417" w:type="dxa"/>
            <w:tcBorders>
              <w:top w:val="single" w:sz="4" w:space="0" w:color="auto"/>
              <w:left w:val="single" w:sz="4" w:space="0" w:color="auto"/>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nil"/>
              <w:left w:val="single" w:sz="4" w:space="0" w:color="auto"/>
              <w:bottom w:val="single" w:sz="4" w:space="0" w:color="auto"/>
              <w:right w:val="single" w:sz="4" w:space="0" w:color="000000"/>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Roll Up on Opportunity</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25</w:t>
            </w:r>
          </w:p>
        </w:tc>
        <w:tc>
          <w:tcPr>
            <w:tcW w:w="1800" w:type="dxa"/>
            <w:tcBorders>
              <w:top w:val="nil"/>
              <w:left w:val="single" w:sz="4" w:space="0" w:color="000000"/>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Assignment Group</w:t>
            </w:r>
          </w:p>
        </w:tc>
        <w:tc>
          <w:tcPr>
            <w:tcW w:w="2417" w:type="dxa"/>
            <w:tcBorders>
              <w:top w:val="single" w:sz="4" w:space="0" w:color="auto"/>
              <w:left w:val="nil"/>
              <w:bottom w:val="single" w:sz="4" w:space="0" w:color="auto"/>
              <w:right w:val="single" w:sz="4" w:space="0" w:color="auto"/>
            </w:tcBorders>
            <w:vAlign w:val="center"/>
          </w:tcPr>
          <w:p w:rsidR="00DC32D2" w:rsidRDefault="00DC32D2" w:rsidP="00DC32D2">
            <w:r w:rsidRPr="003712E7">
              <w:rPr>
                <w:rFonts w:ascii="Calibri" w:eastAsia="Times New Roman" w:hAnsi="Calibri" w:cs="Arial"/>
                <w:color w:val="000000"/>
                <w:sz w:val="24"/>
                <w:szCs w:val="24"/>
              </w:rPr>
              <w:t>Custom</w:t>
            </w:r>
          </w:p>
        </w:tc>
        <w:tc>
          <w:tcPr>
            <w:tcW w:w="4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 </w:t>
            </w:r>
          </w:p>
        </w:tc>
      </w:tr>
      <w:tr w:rsidR="00DC32D2" w:rsidRPr="00DC32D2" w:rsidTr="00DC32D2">
        <w:trPr>
          <w:trHeight w:val="315"/>
        </w:trPr>
        <w:tc>
          <w:tcPr>
            <w:tcW w:w="990" w:type="dxa"/>
            <w:tcBorders>
              <w:top w:val="nil"/>
              <w:left w:val="single" w:sz="4" w:space="0" w:color="000000"/>
              <w:bottom w:val="single" w:sz="4" w:space="0" w:color="000000"/>
              <w:right w:val="single" w:sz="4" w:space="0" w:color="000000"/>
            </w:tcBorders>
            <w:vAlign w:val="center"/>
          </w:tcPr>
          <w:p w:rsidR="00DC32D2" w:rsidRPr="00DC32D2" w:rsidRDefault="00DC32D2" w:rsidP="00DC32D2">
            <w:pPr>
              <w:spacing w:after="0" w:line="240" w:lineRule="auto"/>
              <w:jc w:val="center"/>
              <w:rPr>
                <w:rFonts w:ascii="Calibri" w:eastAsia="Times New Roman" w:hAnsi="Calibri" w:cs="Arial"/>
                <w:color w:val="000000"/>
                <w:sz w:val="24"/>
                <w:szCs w:val="24"/>
              </w:rPr>
            </w:pPr>
            <w:r>
              <w:rPr>
                <w:rFonts w:ascii="Calibri" w:eastAsia="Times New Roman" w:hAnsi="Calibri" w:cs="Arial"/>
                <w:color w:val="000000"/>
                <w:sz w:val="24"/>
                <w:szCs w:val="24"/>
              </w:rPr>
              <w:t>26</w:t>
            </w:r>
          </w:p>
        </w:tc>
        <w:tc>
          <w:tcPr>
            <w:tcW w:w="1800" w:type="dxa"/>
            <w:tcBorders>
              <w:top w:val="nil"/>
              <w:left w:val="single" w:sz="4" w:space="0" w:color="000000"/>
              <w:bottom w:val="single" w:sz="4" w:space="0" w:color="000000"/>
              <w:right w:val="single" w:sz="4" w:space="0" w:color="auto"/>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Group Member</w:t>
            </w:r>
          </w:p>
        </w:tc>
        <w:tc>
          <w:tcPr>
            <w:tcW w:w="2417" w:type="dxa"/>
            <w:tcBorders>
              <w:top w:val="single" w:sz="4" w:space="0" w:color="auto"/>
              <w:left w:val="single" w:sz="4" w:space="0" w:color="auto"/>
              <w:bottom w:val="single" w:sz="4" w:space="0" w:color="auto"/>
              <w:right w:val="single" w:sz="4" w:space="0" w:color="auto"/>
            </w:tcBorders>
          </w:tcPr>
          <w:p w:rsidR="00DC32D2" w:rsidRPr="00DC32D2" w:rsidRDefault="00DC32D2" w:rsidP="00DC32D2">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Standard</w:t>
            </w:r>
          </w:p>
        </w:tc>
        <w:tc>
          <w:tcPr>
            <w:tcW w:w="4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32D2" w:rsidRPr="00DC32D2" w:rsidRDefault="00DC32D2" w:rsidP="00DC32D2">
            <w:pPr>
              <w:spacing w:after="0" w:line="240" w:lineRule="auto"/>
              <w:rPr>
                <w:rFonts w:ascii="Calibri" w:eastAsia="Times New Roman" w:hAnsi="Calibri" w:cs="Arial"/>
                <w:color w:val="000000"/>
                <w:sz w:val="24"/>
                <w:szCs w:val="24"/>
              </w:rPr>
            </w:pPr>
            <w:r w:rsidRPr="00DC32D2">
              <w:rPr>
                <w:rFonts w:ascii="Calibri" w:eastAsia="Times New Roman" w:hAnsi="Calibri" w:cs="Arial"/>
                <w:color w:val="000000"/>
                <w:sz w:val="24"/>
                <w:szCs w:val="24"/>
              </w:rPr>
              <w:t> </w:t>
            </w:r>
          </w:p>
        </w:tc>
      </w:tr>
    </w:tbl>
    <w:p w:rsidR="00D113A5" w:rsidRDefault="00D113A5" w:rsidP="0057187F">
      <w:pPr>
        <w:ind w:left="-720"/>
      </w:pPr>
    </w:p>
    <w:p w:rsidR="00D113A5" w:rsidRDefault="00DC32D2" w:rsidP="0057187F">
      <w:pPr>
        <w:ind w:left="-720"/>
      </w:pPr>
      <w:r>
        <w:t>The below table enlists the standard objects that are not available in the OEM model and the MCA functionalities dependent on them that would require custom development.</w:t>
      </w:r>
    </w:p>
    <w:tbl>
      <w:tblPr>
        <w:tblW w:w="9900" w:type="dxa"/>
        <w:tblInd w:w="-342" w:type="dxa"/>
        <w:tblLook w:val="04A0"/>
      </w:tblPr>
      <w:tblGrid>
        <w:gridCol w:w="990"/>
        <w:gridCol w:w="2790"/>
        <w:gridCol w:w="6120"/>
      </w:tblGrid>
      <w:tr w:rsidR="00DC32D2" w:rsidRPr="00DC32D2" w:rsidTr="00DC32D2">
        <w:trPr>
          <w:trHeight w:val="450"/>
        </w:trPr>
        <w:tc>
          <w:tcPr>
            <w:tcW w:w="990" w:type="dxa"/>
            <w:tcBorders>
              <w:top w:val="single" w:sz="4" w:space="0" w:color="000000"/>
              <w:left w:val="single" w:sz="4" w:space="0" w:color="000000"/>
              <w:bottom w:val="single" w:sz="4" w:space="0" w:color="000000"/>
              <w:right w:val="single" w:sz="4" w:space="0" w:color="000000"/>
            </w:tcBorders>
            <w:shd w:val="clear" w:color="C0C0C0" w:fill="C0C0C0"/>
            <w:noWrap/>
            <w:vAlign w:val="center"/>
            <w:hideMark/>
          </w:tcPr>
          <w:p w:rsidR="00DC32D2" w:rsidRPr="00DC32D2" w:rsidRDefault="00DC32D2" w:rsidP="00DC32D2">
            <w:pPr>
              <w:spacing w:after="0" w:line="240" w:lineRule="auto"/>
              <w:jc w:val="center"/>
              <w:rPr>
                <w:rFonts w:ascii="Calibri" w:eastAsia="Times New Roman" w:hAnsi="Calibri" w:cs="Arial"/>
                <w:b/>
                <w:bCs/>
                <w:color w:val="000000"/>
              </w:rPr>
            </w:pPr>
            <w:r w:rsidRPr="00DC32D2">
              <w:rPr>
                <w:rFonts w:ascii="Calibri" w:eastAsia="Times New Roman" w:hAnsi="Calibri" w:cs="Arial"/>
                <w:b/>
                <w:bCs/>
                <w:color w:val="000000"/>
              </w:rPr>
              <w:t>S</w:t>
            </w:r>
            <w:r>
              <w:rPr>
                <w:rFonts w:ascii="Calibri" w:eastAsia="Times New Roman" w:hAnsi="Calibri" w:cs="Arial"/>
                <w:b/>
                <w:bCs/>
                <w:color w:val="000000"/>
              </w:rPr>
              <w:t>r</w:t>
            </w:r>
            <w:r w:rsidRPr="00DC32D2">
              <w:rPr>
                <w:rFonts w:ascii="Calibri" w:eastAsia="Times New Roman" w:hAnsi="Calibri" w:cs="Arial"/>
                <w:b/>
                <w:bCs/>
                <w:color w:val="000000"/>
              </w:rPr>
              <w:t>. No</w:t>
            </w:r>
            <w:r>
              <w:rPr>
                <w:rFonts w:ascii="Calibri" w:eastAsia="Times New Roman" w:hAnsi="Calibri" w:cs="Arial"/>
                <w:b/>
                <w:bCs/>
                <w:color w:val="000000"/>
              </w:rPr>
              <w:t>.</w:t>
            </w:r>
          </w:p>
        </w:tc>
        <w:tc>
          <w:tcPr>
            <w:tcW w:w="2790" w:type="dxa"/>
            <w:tcBorders>
              <w:top w:val="single" w:sz="4" w:space="0" w:color="000000"/>
              <w:left w:val="nil"/>
              <w:bottom w:val="single" w:sz="4" w:space="0" w:color="000000"/>
              <w:right w:val="single" w:sz="4" w:space="0" w:color="000000"/>
            </w:tcBorders>
            <w:shd w:val="clear" w:color="C0C0C0" w:fill="C0C0C0"/>
            <w:vAlign w:val="center"/>
            <w:hideMark/>
          </w:tcPr>
          <w:p w:rsidR="00DC32D2" w:rsidRPr="00DC32D2" w:rsidRDefault="00DC32D2" w:rsidP="00DC32D2">
            <w:pPr>
              <w:spacing w:after="0" w:line="240" w:lineRule="auto"/>
              <w:jc w:val="center"/>
              <w:rPr>
                <w:rFonts w:ascii="Calibri" w:eastAsia="Times New Roman" w:hAnsi="Calibri" w:cs="Arial"/>
                <w:b/>
                <w:bCs/>
                <w:color w:val="000000"/>
              </w:rPr>
            </w:pPr>
            <w:r w:rsidRPr="00DC32D2">
              <w:rPr>
                <w:rFonts w:ascii="Calibri" w:eastAsia="Times New Roman" w:hAnsi="Calibri" w:cs="Arial"/>
                <w:b/>
                <w:bCs/>
                <w:color w:val="000000"/>
              </w:rPr>
              <w:t>Object</w:t>
            </w:r>
          </w:p>
        </w:tc>
        <w:tc>
          <w:tcPr>
            <w:tcW w:w="6120" w:type="dxa"/>
            <w:tcBorders>
              <w:top w:val="single" w:sz="4" w:space="0" w:color="000000"/>
              <w:left w:val="nil"/>
              <w:bottom w:val="single" w:sz="4" w:space="0" w:color="000000"/>
              <w:right w:val="single" w:sz="4" w:space="0" w:color="000000"/>
            </w:tcBorders>
            <w:shd w:val="clear" w:color="C0C0C0" w:fill="C0C0C0"/>
            <w:vAlign w:val="center"/>
            <w:hideMark/>
          </w:tcPr>
          <w:p w:rsidR="00DC32D2" w:rsidRPr="00DC32D2" w:rsidRDefault="00DC32D2" w:rsidP="00DC32D2">
            <w:pPr>
              <w:spacing w:after="0" w:line="240" w:lineRule="auto"/>
              <w:jc w:val="center"/>
              <w:rPr>
                <w:rFonts w:ascii="Calibri" w:eastAsia="Times New Roman" w:hAnsi="Calibri" w:cs="Arial"/>
                <w:b/>
                <w:bCs/>
                <w:color w:val="000000"/>
              </w:rPr>
            </w:pPr>
            <w:r>
              <w:rPr>
                <w:rFonts w:ascii="Calibri" w:eastAsia="Times New Roman" w:hAnsi="Calibri" w:cs="Arial"/>
                <w:b/>
                <w:bCs/>
                <w:color w:val="000000"/>
              </w:rPr>
              <w:t xml:space="preserve">Dependent MCA </w:t>
            </w:r>
            <w:r w:rsidRPr="00DC32D2">
              <w:rPr>
                <w:rFonts w:ascii="Calibri" w:eastAsia="Times New Roman" w:hAnsi="Calibri" w:cs="Arial"/>
                <w:b/>
                <w:bCs/>
                <w:color w:val="000000"/>
              </w:rPr>
              <w:t xml:space="preserve">Functionality </w:t>
            </w:r>
          </w:p>
        </w:tc>
      </w:tr>
      <w:tr w:rsidR="00DC32D2" w:rsidRPr="00DC32D2" w:rsidTr="00DC32D2">
        <w:trPr>
          <w:trHeight w:val="2100"/>
        </w:trPr>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jc w:val="center"/>
              <w:rPr>
                <w:rFonts w:ascii="Calibri" w:eastAsia="Times New Roman" w:hAnsi="Calibri" w:cs="Arial"/>
                <w:color w:val="000000"/>
              </w:rPr>
            </w:pPr>
            <w:r w:rsidRPr="00DC32D2">
              <w:rPr>
                <w:rFonts w:ascii="Calibri" w:eastAsia="Times New Roman" w:hAnsi="Calibri" w:cs="Arial"/>
                <w:color w:val="000000"/>
              </w:rPr>
              <w:t>1</w:t>
            </w:r>
          </w:p>
        </w:tc>
        <w:tc>
          <w:tcPr>
            <w:tcW w:w="279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Opportunity</w:t>
            </w:r>
          </w:p>
        </w:tc>
        <w:tc>
          <w:tcPr>
            <w:tcW w:w="612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1. Funding Application</w:t>
            </w:r>
            <w:r w:rsidRPr="00DC32D2">
              <w:rPr>
                <w:rFonts w:ascii="Calibri" w:eastAsia="Times New Roman" w:hAnsi="Calibri" w:cs="Arial"/>
                <w:color w:val="000000"/>
              </w:rPr>
              <w:br/>
              <w:t>2. Submission Wizard</w:t>
            </w:r>
            <w:r w:rsidRPr="00DC32D2">
              <w:rPr>
                <w:rFonts w:ascii="Calibri" w:eastAsia="Times New Roman" w:hAnsi="Calibri" w:cs="Arial"/>
                <w:color w:val="000000"/>
              </w:rPr>
              <w:br/>
              <w:t>3. Activity Count</w:t>
            </w:r>
            <w:r w:rsidRPr="00DC32D2">
              <w:rPr>
                <w:rFonts w:ascii="Calibri" w:eastAsia="Times New Roman" w:hAnsi="Calibri" w:cs="Arial"/>
                <w:color w:val="000000"/>
              </w:rPr>
              <w:br/>
              <w:t>4. Create Contract</w:t>
            </w:r>
            <w:r w:rsidRPr="00DC32D2">
              <w:rPr>
                <w:rFonts w:ascii="Calibri" w:eastAsia="Times New Roman" w:hAnsi="Calibri" w:cs="Arial"/>
                <w:color w:val="000000"/>
              </w:rPr>
              <w:br/>
              <w:t>5. MCA Home Page</w:t>
            </w:r>
            <w:r w:rsidRPr="00DC32D2">
              <w:rPr>
                <w:rFonts w:ascii="Calibri" w:eastAsia="Times New Roman" w:hAnsi="Calibri" w:cs="Arial"/>
                <w:color w:val="000000"/>
              </w:rPr>
              <w:br/>
              <w:t>6. Manage Renewals</w:t>
            </w:r>
            <w:r w:rsidRPr="00DC32D2">
              <w:rPr>
                <w:rFonts w:ascii="Calibri" w:eastAsia="Times New Roman" w:hAnsi="Calibri" w:cs="Arial"/>
                <w:color w:val="000000"/>
              </w:rPr>
              <w:br/>
              <w:t>7. Offer Wizard</w:t>
            </w:r>
          </w:p>
        </w:tc>
      </w:tr>
      <w:tr w:rsidR="00DC32D2" w:rsidRPr="00DC32D2" w:rsidTr="00DC32D2">
        <w:trPr>
          <w:trHeight w:val="719"/>
        </w:trPr>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jc w:val="center"/>
              <w:rPr>
                <w:rFonts w:ascii="Calibri" w:eastAsia="Times New Roman" w:hAnsi="Calibri" w:cs="Arial"/>
                <w:color w:val="000000"/>
              </w:rPr>
            </w:pPr>
            <w:r w:rsidRPr="00DC32D2">
              <w:rPr>
                <w:rFonts w:ascii="Calibri" w:eastAsia="Times New Roman" w:hAnsi="Calibri" w:cs="Arial"/>
                <w:color w:val="000000"/>
              </w:rPr>
              <w:lastRenderedPageBreak/>
              <w:t>2</w:t>
            </w:r>
          </w:p>
        </w:tc>
        <w:tc>
          <w:tcPr>
            <w:tcW w:w="279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Lead</w:t>
            </w:r>
          </w:p>
        </w:tc>
        <w:tc>
          <w:tcPr>
            <w:tcW w:w="612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1. Activity Count</w:t>
            </w:r>
          </w:p>
        </w:tc>
      </w:tr>
      <w:tr w:rsidR="00DC32D2" w:rsidRPr="00DC32D2" w:rsidTr="00DC32D2">
        <w:trPr>
          <w:trHeight w:val="701"/>
        </w:trPr>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jc w:val="center"/>
              <w:rPr>
                <w:rFonts w:ascii="Calibri" w:eastAsia="Times New Roman" w:hAnsi="Calibri" w:cs="Arial"/>
                <w:color w:val="000000"/>
              </w:rPr>
            </w:pPr>
            <w:r w:rsidRPr="00DC32D2">
              <w:rPr>
                <w:rFonts w:ascii="Calibri" w:eastAsia="Times New Roman" w:hAnsi="Calibri" w:cs="Arial"/>
                <w:color w:val="000000"/>
              </w:rPr>
              <w:t>3</w:t>
            </w:r>
          </w:p>
        </w:tc>
        <w:tc>
          <w:tcPr>
            <w:tcW w:w="279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Contract</w:t>
            </w:r>
          </w:p>
        </w:tc>
        <w:tc>
          <w:tcPr>
            <w:tcW w:w="612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1. Manage Renewals</w:t>
            </w:r>
            <w:r w:rsidRPr="00DC32D2">
              <w:rPr>
                <w:rFonts w:ascii="Calibri" w:eastAsia="Times New Roman" w:hAnsi="Calibri" w:cs="Arial"/>
                <w:color w:val="000000"/>
              </w:rPr>
              <w:br/>
              <w:t>2. Track Stage changes</w:t>
            </w:r>
          </w:p>
        </w:tc>
      </w:tr>
      <w:tr w:rsidR="00DC32D2" w:rsidRPr="00DC32D2" w:rsidTr="00DC32D2">
        <w:trPr>
          <w:trHeight w:val="719"/>
        </w:trPr>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DC32D2" w:rsidRPr="00DC32D2" w:rsidRDefault="00DC32D2" w:rsidP="00DC32D2">
            <w:pPr>
              <w:spacing w:after="0" w:line="240" w:lineRule="auto"/>
              <w:jc w:val="center"/>
              <w:rPr>
                <w:rFonts w:ascii="Calibri" w:eastAsia="Times New Roman" w:hAnsi="Calibri" w:cs="Arial"/>
                <w:color w:val="000000"/>
              </w:rPr>
            </w:pPr>
            <w:r w:rsidRPr="00DC32D2">
              <w:rPr>
                <w:rFonts w:ascii="Calibri" w:eastAsia="Times New Roman" w:hAnsi="Calibri" w:cs="Arial"/>
                <w:color w:val="000000"/>
              </w:rPr>
              <w:t>4</w:t>
            </w:r>
          </w:p>
        </w:tc>
        <w:tc>
          <w:tcPr>
            <w:tcW w:w="279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Campaign</w:t>
            </w:r>
          </w:p>
        </w:tc>
        <w:tc>
          <w:tcPr>
            <w:tcW w:w="6120" w:type="dxa"/>
            <w:tcBorders>
              <w:top w:val="nil"/>
              <w:left w:val="nil"/>
              <w:bottom w:val="single" w:sz="4" w:space="0" w:color="000000"/>
              <w:right w:val="single" w:sz="4" w:space="0" w:color="000000"/>
            </w:tcBorders>
            <w:shd w:val="clear" w:color="auto" w:fill="auto"/>
            <w:vAlign w:val="center"/>
            <w:hideMark/>
          </w:tcPr>
          <w:p w:rsidR="00DC32D2" w:rsidRPr="00DC32D2" w:rsidRDefault="00DC32D2" w:rsidP="00DC32D2">
            <w:pPr>
              <w:spacing w:after="0" w:line="240" w:lineRule="auto"/>
              <w:rPr>
                <w:rFonts w:ascii="Calibri" w:eastAsia="Times New Roman" w:hAnsi="Calibri" w:cs="Arial"/>
                <w:color w:val="000000"/>
              </w:rPr>
            </w:pPr>
            <w:r w:rsidRPr="00DC32D2">
              <w:rPr>
                <w:rFonts w:ascii="Calibri" w:eastAsia="Times New Roman" w:hAnsi="Calibri" w:cs="Arial"/>
                <w:color w:val="000000"/>
              </w:rPr>
              <w:t>1. Report</w:t>
            </w:r>
            <w:r w:rsidRPr="00DC32D2">
              <w:rPr>
                <w:rFonts w:ascii="Calibri" w:eastAsia="Times New Roman" w:hAnsi="Calibri" w:cs="Arial"/>
                <w:color w:val="000000"/>
              </w:rPr>
              <w:br/>
              <w:t>2. Dashboard</w:t>
            </w:r>
            <w:r w:rsidRPr="00DC32D2">
              <w:rPr>
                <w:rFonts w:ascii="Calibri" w:eastAsia="Times New Roman" w:hAnsi="Calibri" w:cs="Arial"/>
                <w:color w:val="000000"/>
              </w:rPr>
              <w:br/>
              <w:t>3. MCA Home Page</w:t>
            </w:r>
          </w:p>
        </w:tc>
      </w:tr>
    </w:tbl>
    <w:p w:rsidR="00007E1E" w:rsidRDefault="0096033C" w:rsidP="00007E1E">
      <w:pPr>
        <w:pStyle w:val="Heading1"/>
        <w:ind w:left="-720"/>
      </w:pPr>
      <w:bookmarkStart w:id="4" w:name="_Toc386652648"/>
      <w:r>
        <w:t xml:space="preserve">Development </w:t>
      </w:r>
      <w:r w:rsidR="00007E1E">
        <w:t>Effort Estimates</w:t>
      </w:r>
      <w:bookmarkEnd w:id="4"/>
    </w:p>
    <w:p w:rsidR="00007E1E" w:rsidRDefault="00007E1E" w:rsidP="00007E1E">
      <w:pPr>
        <w:ind w:left="-720"/>
      </w:pPr>
      <w:r>
        <w:t xml:space="preserve">The below table outlines </w:t>
      </w:r>
      <w:r w:rsidR="00545B25">
        <w:t>only the ballpark development effort that would be required to transform the MCA App to an OEM compliant app</w:t>
      </w:r>
      <w:r>
        <w:t>.</w:t>
      </w:r>
      <w:r w:rsidR="00545B25">
        <w:t xml:space="preserve"> The effort in the below table does not account for – Test Code development Deployment / QA / Bug Fixes and Packaging.</w:t>
      </w:r>
    </w:p>
    <w:tbl>
      <w:tblPr>
        <w:tblW w:w="10170" w:type="dxa"/>
        <w:tblInd w:w="-612" w:type="dxa"/>
        <w:tblLook w:val="04A0"/>
      </w:tblPr>
      <w:tblGrid>
        <w:gridCol w:w="940"/>
        <w:gridCol w:w="2570"/>
        <w:gridCol w:w="5580"/>
        <w:gridCol w:w="1080"/>
      </w:tblGrid>
      <w:tr w:rsidR="00545B25" w:rsidRPr="00545B25" w:rsidTr="00545B25">
        <w:trPr>
          <w:trHeight w:val="600"/>
        </w:trPr>
        <w:tc>
          <w:tcPr>
            <w:tcW w:w="94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545B25" w:rsidRPr="00545B25" w:rsidRDefault="00545B25" w:rsidP="00545B25">
            <w:pPr>
              <w:spacing w:after="0" w:line="240" w:lineRule="auto"/>
              <w:jc w:val="center"/>
              <w:rPr>
                <w:rFonts w:ascii="Calibri" w:eastAsia="Times New Roman" w:hAnsi="Calibri" w:cs="Arial"/>
                <w:b/>
                <w:bCs/>
                <w:color w:val="000000"/>
              </w:rPr>
            </w:pPr>
            <w:r w:rsidRPr="00545B25">
              <w:rPr>
                <w:rFonts w:ascii="Calibri" w:eastAsia="Times New Roman" w:hAnsi="Calibri" w:cs="Arial"/>
                <w:b/>
                <w:bCs/>
                <w:color w:val="000000"/>
              </w:rPr>
              <w:t>Sr. No.</w:t>
            </w:r>
          </w:p>
        </w:tc>
        <w:tc>
          <w:tcPr>
            <w:tcW w:w="2570" w:type="dxa"/>
            <w:tcBorders>
              <w:top w:val="single" w:sz="4" w:space="0" w:color="auto"/>
              <w:left w:val="nil"/>
              <w:bottom w:val="single" w:sz="4" w:space="0" w:color="auto"/>
              <w:right w:val="single" w:sz="4" w:space="0" w:color="auto"/>
            </w:tcBorders>
            <w:shd w:val="clear" w:color="000000" w:fill="BFBFBF"/>
            <w:vAlign w:val="center"/>
            <w:hideMark/>
          </w:tcPr>
          <w:p w:rsidR="00545B25" w:rsidRPr="00545B25" w:rsidRDefault="00545B25" w:rsidP="00545B25">
            <w:pPr>
              <w:spacing w:after="0" w:line="240" w:lineRule="auto"/>
              <w:jc w:val="center"/>
              <w:rPr>
                <w:rFonts w:ascii="Calibri" w:eastAsia="Times New Roman" w:hAnsi="Calibri" w:cs="Arial"/>
                <w:b/>
                <w:bCs/>
                <w:color w:val="000000"/>
              </w:rPr>
            </w:pPr>
            <w:r w:rsidRPr="00545B25">
              <w:rPr>
                <w:rFonts w:ascii="Calibri" w:eastAsia="Times New Roman" w:hAnsi="Calibri" w:cs="Arial"/>
                <w:b/>
                <w:bCs/>
                <w:color w:val="000000"/>
              </w:rPr>
              <w:t>Object Name / Functionality</w:t>
            </w:r>
          </w:p>
        </w:tc>
        <w:tc>
          <w:tcPr>
            <w:tcW w:w="5580" w:type="dxa"/>
            <w:tcBorders>
              <w:top w:val="single" w:sz="4" w:space="0" w:color="auto"/>
              <w:left w:val="nil"/>
              <w:bottom w:val="single" w:sz="4" w:space="0" w:color="auto"/>
              <w:right w:val="single" w:sz="4" w:space="0" w:color="auto"/>
            </w:tcBorders>
            <w:shd w:val="clear" w:color="000000" w:fill="BFBFBF"/>
            <w:vAlign w:val="center"/>
            <w:hideMark/>
          </w:tcPr>
          <w:p w:rsidR="00545B25" w:rsidRPr="00545B25" w:rsidRDefault="00545B25" w:rsidP="00545B25">
            <w:pPr>
              <w:spacing w:after="0" w:line="240" w:lineRule="auto"/>
              <w:jc w:val="center"/>
              <w:rPr>
                <w:rFonts w:ascii="Calibri" w:eastAsia="Times New Roman" w:hAnsi="Calibri" w:cs="Arial"/>
                <w:b/>
                <w:bCs/>
                <w:color w:val="000000"/>
              </w:rPr>
            </w:pPr>
            <w:r w:rsidRPr="00545B25">
              <w:rPr>
                <w:rFonts w:ascii="Calibri" w:eastAsia="Times New Roman" w:hAnsi="Calibri" w:cs="Arial"/>
                <w:b/>
                <w:bCs/>
                <w:color w:val="000000"/>
              </w:rPr>
              <w:t>Solution</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rsidR="00545B25" w:rsidRPr="00545B25" w:rsidRDefault="00545B25" w:rsidP="00545B25">
            <w:pPr>
              <w:spacing w:after="0" w:line="240" w:lineRule="auto"/>
              <w:jc w:val="center"/>
              <w:rPr>
                <w:rFonts w:ascii="Calibri" w:eastAsia="Times New Roman" w:hAnsi="Calibri" w:cs="Arial"/>
                <w:b/>
                <w:bCs/>
                <w:color w:val="000000"/>
              </w:rPr>
            </w:pPr>
            <w:r w:rsidRPr="00545B25">
              <w:rPr>
                <w:rFonts w:ascii="Calibri" w:eastAsia="Times New Roman" w:hAnsi="Calibri" w:cs="Arial"/>
                <w:b/>
                <w:bCs/>
                <w:color w:val="000000"/>
              </w:rPr>
              <w:t>Effort (Hrs.)</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 xml:space="preserve">Lead / Opportunity / Campaign / Contract </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Creating a custom Object with the necessary custom fields for Lead / Campaign / Contract.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9</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2</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MCA Custom Objects</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Data Model Changes to the existing custom objects</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8</w:t>
            </w:r>
          </w:p>
        </w:tc>
      </w:tr>
      <w:tr w:rsidR="00545B25" w:rsidRPr="00545B25" w:rsidTr="00545B25">
        <w:trPr>
          <w:trHeight w:val="61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3</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Lead</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the out of box functionality for Lead Conversion to Opportunity using custom code and page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32</w:t>
            </w:r>
          </w:p>
        </w:tc>
      </w:tr>
      <w:tr w:rsidR="00545B25" w:rsidRPr="00545B25" w:rsidTr="00545B25">
        <w:trPr>
          <w:trHeight w:val="61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4</w:t>
            </w:r>
          </w:p>
        </w:tc>
        <w:tc>
          <w:tcPr>
            <w:tcW w:w="2570" w:type="dxa"/>
            <w:tcBorders>
              <w:top w:val="single" w:sz="4" w:space="0" w:color="auto"/>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Opportunity</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the standard out of box functionalities for Opportunities using custom development like OpportunityContactRoles etc</w:t>
            </w:r>
            <w:r>
              <w:rPr>
                <w:rFonts w:ascii="Calibri" w:eastAsia="Times New Roman" w:hAnsi="Calibri" w:cs="Arial"/>
                <w:color w:val="000000"/>
              </w:rPr>
              <w: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24</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5</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Campaign</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the standard out of box functionalities for Campaign using custom development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24</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6</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Funding Application</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Funding Application functionality on Custom Opportunity</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12</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7</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Submission Wizard</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Submission Wizard functionality on Custom Opportunity</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9</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8</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Activity Count</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Opportunity and Lead Count feature on Tasks / Events</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9</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9</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Create Contract</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Create Contract functionality for Custom Opportunity</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10</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10</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Manage Renewals</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Replicating Manage Renewals functionality for Custom Opportunity and Contract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24</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r>
              <w:rPr>
                <w:rFonts w:ascii="Calibri" w:eastAsia="Times New Roman" w:hAnsi="Calibri" w:cs="Arial"/>
                <w:color w:val="000000"/>
              </w:rPr>
              <w:t>1</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Offer Wizard</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Conga Queries, Template Creation</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6</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r>
              <w:rPr>
                <w:rFonts w:ascii="Calibri" w:eastAsia="Times New Roman" w:hAnsi="Calibri" w:cs="Arial"/>
                <w:color w:val="000000"/>
              </w:rPr>
              <w:t>2</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MCA Home</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Visualforce code changes for the MCA Home Page to calculate the metrics from the custom Lead and Opportunity object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5</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lastRenderedPageBreak/>
              <w:t>1</w:t>
            </w:r>
            <w:r>
              <w:rPr>
                <w:rFonts w:ascii="Calibri" w:eastAsia="Times New Roman" w:hAnsi="Calibri" w:cs="Arial"/>
                <w:color w:val="000000"/>
              </w:rPr>
              <w:t>3</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Opportunity Trigger</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Code modifications to reflect the Stage changes on Opportunity on Contract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10</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r>
              <w:rPr>
                <w:rFonts w:ascii="Calibri" w:eastAsia="Times New Roman" w:hAnsi="Calibri" w:cs="Arial"/>
                <w:color w:val="000000"/>
              </w:rPr>
              <w:t>4</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Workflows</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Deployment/ Replicate the ones on Opportunity and Lead and Contract</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8</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r>
              <w:rPr>
                <w:rFonts w:ascii="Calibri" w:eastAsia="Times New Roman" w:hAnsi="Calibri" w:cs="Arial"/>
                <w:color w:val="000000"/>
              </w:rPr>
              <w:t>5</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Reports</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Around 20 Custom Reports on Lead / Opportunity would need to be redeveloped</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12</w:t>
            </w:r>
          </w:p>
        </w:tc>
      </w:tr>
      <w:tr w:rsidR="00545B25" w:rsidRPr="00545B25" w:rsidTr="00545B25">
        <w:trPr>
          <w:trHeight w:val="61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w:t>
            </w:r>
            <w:r>
              <w:rPr>
                <w:rFonts w:ascii="Calibri" w:eastAsia="Times New Roman" w:hAnsi="Calibri" w:cs="Arial"/>
                <w:color w:val="000000"/>
              </w:rPr>
              <w:t>6</w:t>
            </w:r>
          </w:p>
        </w:tc>
        <w:tc>
          <w:tcPr>
            <w:tcW w:w="257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Dashboards</w:t>
            </w:r>
          </w:p>
        </w:tc>
        <w:tc>
          <w:tcPr>
            <w:tcW w:w="55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rPr>
                <w:rFonts w:ascii="Calibri" w:eastAsia="Times New Roman" w:hAnsi="Calibri" w:cs="Arial"/>
                <w:color w:val="000000"/>
              </w:rPr>
            </w:pPr>
            <w:r w:rsidRPr="00545B25">
              <w:rPr>
                <w:rFonts w:ascii="Calibri" w:eastAsia="Times New Roman" w:hAnsi="Calibri" w:cs="Arial"/>
                <w:color w:val="000000"/>
              </w:rPr>
              <w:t>Around 4 Dashboards each having atleast 6 - 10 components need to be redeveloped</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color w:val="000000"/>
              </w:rPr>
            </w:pPr>
            <w:r w:rsidRPr="00545B25">
              <w:rPr>
                <w:rFonts w:ascii="Calibri" w:eastAsia="Times New Roman" w:hAnsi="Calibri" w:cs="Arial"/>
                <w:color w:val="000000"/>
              </w:rPr>
              <w:t>12</w:t>
            </w:r>
          </w:p>
        </w:tc>
      </w:tr>
      <w:tr w:rsidR="00545B25" w:rsidRPr="00545B25" w:rsidTr="00545B25">
        <w:trPr>
          <w:trHeight w:val="315"/>
        </w:trPr>
        <w:tc>
          <w:tcPr>
            <w:tcW w:w="909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b/>
                <w:bCs/>
                <w:color w:val="000000"/>
                <w:sz w:val="24"/>
                <w:szCs w:val="24"/>
              </w:rPr>
            </w:pPr>
            <w:r w:rsidRPr="00545B25">
              <w:rPr>
                <w:rFonts w:ascii="Calibri" w:eastAsia="Times New Roman" w:hAnsi="Calibri" w:cs="Arial"/>
                <w:b/>
                <w:bCs/>
                <w:color w:val="000000"/>
                <w:sz w:val="24"/>
                <w:szCs w:val="24"/>
              </w:rPr>
              <w:t xml:space="preserve">Total </w:t>
            </w:r>
            <w:r>
              <w:rPr>
                <w:rFonts w:ascii="Calibri" w:eastAsia="Times New Roman" w:hAnsi="Calibri" w:cs="Arial"/>
                <w:b/>
                <w:bCs/>
                <w:color w:val="000000"/>
                <w:sz w:val="24"/>
                <w:szCs w:val="24"/>
              </w:rPr>
              <w:t xml:space="preserve">Development </w:t>
            </w:r>
            <w:r w:rsidRPr="00545B25">
              <w:rPr>
                <w:rFonts w:ascii="Calibri" w:eastAsia="Times New Roman" w:hAnsi="Calibri" w:cs="Arial"/>
                <w:b/>
                <w:bCs/>
                <w:color w:val="000000"/>
                <w:sz w:val="24"/>
                <w:szCs w:val="24"/>
              </w:rPr>
              <w:t>Effort (Hrs.)</w:t>
            </w:r>
          </w:p>
        </w:tc>
        <w:tc>
          <w:tcPr>
            <w:tcW w:w="1080" w:type="dxa"/>
            <w:tcBorders>
              <w:top w:val="nil"/>
              <w:left w:val="nil"/>
              <w:bottom w:val="single" w:sz="4" w:space="0" w:color="auto"/>
              <w:right w:val="single" w:sz="4" w:space="0" w:color="auto"/>
            </w:tcBorders>
            <w:shd w:val="clear" w:color="auto" w:fill="auto"/>
            <w:vAlign w:val="center"/>
            <w:hideMark/>
          </w:tcPr>
          <w:p w:rsidR="00545B25" w:rsidRPr="00545B25" w:rsidRDefault="00545B25" w:rsidP="00545B25">
            <w:pPr>
              <w:spacing w:after="0" w:line="240" w:lineRule="auto"/>
              <w:jc w:val="center"/>
              <w:rPr>
                <w:rFonts w:ascii="Calibri" w:eastAsia="Times New Roman" w:hAnsi="Calibri" w:cs="Arial"/>
                <w:b/>
                <w:bCs/>
                <w:color w:val="000000"/>
                <w:sz w:val="24"/>
                <w:szCs w:val="24"/>
              </w:rPr>
            </w:pPr>
            <w:r w:rsidRPr="00545B25">
              <w:rPr>
                <w:rFonts w:ascii="Calibri" w:eastAsia="Times New Roman" w:hAnsi="Calibri" w:cs="Arial"/>
                <w:b/>
                <w:bCs/>
                <w:color w:val="000000"/>
                <w:sz w:val="24"/>
                <w:szCs w:val="24"/>
              </w:rPr>
              <w:t>214</w:t>
            </w:r>
          </w:p>
        </w:tc>
      </w:tr>
    </w:tbl>
    <w:p w:rsidR="00545B25" w:rsidRDefault="00545B25" w:rsidP="00007E1E">
      <w:pPr>
        <w:ind w:left="-720"/>
      </w:pPr>
    </w:p>
    <w:p w:rsidR="00545B25" w:rsidRDefault="00545B25" w:rsidP="00007E1E">
      <w:pPr>
        <w:ind w:left="-720"/>
      </w:pPr>
    </w:p>
    <w:p w:rsidR="00545B25" w:rsidRDefault="00545B25" w:rsidP="00007E1E">
      <w:pPr>
        <w:ind w:left="-720"/>
      </w:pPr>
    </w:p>
    <w:p w:rsidR="00881910" w:rsidRDefault="00881910" w:rsidP="0057187F">
      <w:pPr>
        <w:ind w:left="-720"/>
      </w:pPr>
    </w:p>
    <w:p w:rsidR="000E69D9" w:rsidRDefault="000E69D9" w:rsidP="0057187F">
      <w:pPr>
        <w:ind w:left="-720"/>
      </w:pPr>
    </w:p>
    <w:p w:rsidR="0057187F" w:rsidRDefault="0057187F" w:rsidP="0057187F">
      <w:pPr>
        <w:ind w:left="-720"/>
      </w:pPr>
    </w:p>
    <w:p w:rsidR="0057187F" w:rsidRDefault="0057187F" w:rsidP="0057187F">
      <w:pPr>
        <w:ind w:left="-720"/>
      </w:pPr>
    </w:p>
    <w:sectPr w:rsidR="0057187F" w:rsidSect="003C10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7C8" w:rsidRDefault="008F17C8" w:rsidP="00BB3673">
      <w:pPr>
        <w:spacing w:after="0" w:line="240" w:lineRule="auto"/>
      </w:pPr>
      <w:r>
        <w:separator/>
      </w:r>
    </w:p>
  </w:endnote>
  <w:endnote w:type="continuationSeparator" w:id="0">
    <w:p w:rsidR="008F17C8" w:rsidRDefault="008F17C8" w:rsidP="00BB3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331786"/>
      <w:docPartObj>
        <w:docPartGallery w:val="Page Numbers (Bottom of Page)"/>
        <w:docPartUnique/>
      </w:docPartObj>
    </w:sdtPr>
    <w:sdtEndPr>
      <w:rPr>
        <w:color w:val="7F7F7F" w:themeColor="background1" w:themeShade="7F"/>
        <w:spacing w:val="60"/>
      </w:rPr>
    </w:sdtEndPr>
    <w:sdtContent>
      <w:p w:rsidR="00BB3673" w:rsidRDefault="00DB4C64">
        <w:pPr>
          <w:pStyle w:val="Footer"/>
          <w:pBdr>
            <w:top w:val="single" w:sz="4" w:space="1" w:color="D9D9D9" w:themeColor="background1" w:themeShade="D9"/>
          </w:pBdr>
          <w:jc w:val="right"/>
        </w:pPr>
        <w:fldSimple w:instr=" PAGE   \* MERGEFORMAT ">
          <w:r w:rsidR="0096033C">
            <w:rPr>
              <w:noProof/>
            </w:rPr>
            <w:t>1</w:t>
          </w:r>
        </w:fldSimple>
        <w:r w:rsidR="00BB3673">
          <w:t xml:space="preserve"> | </w:t>
        </w:r>
        <w:r w:rsidR="00BB3673">
          <w:rPr>
            <w:color w:val="7F7F7F" w:themeColor="background1" w:themeShade="7F"/>
            <w:spacing w:val="60"/>
          </w:rPr>
          <w:t>Page</w:t>
        </w:r>
      </w:p>
    </w:sdtContent>
  </w:sdt>
  <w:p w:rsidR="00BB3673" w:rsidRDefault="00BB36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7C8" w:rsidRDefault="008F17C8" w:rsidP="00BB3673">
      <w:pPr>
        <w:spacing w:after="0" w:line="240" w:lineRule="auto"/>
      </w:pPr>
      <w:r>
        <w:separator/>
      </w:r>
    </w:p>
  </w:footnote>
  <w:footnote w:type="continuationSeparator" w:id="0">
    <w:p w:rsidR="008F17C8" w:rsidRDefault="008F17C8" w:rsidP="00BB36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85" w:rsidRPr="00245E85" w:rsidRDefault="00245E85" w:rsidP="00881910">
    <w:pPr>
      <w:pStyle w:val="Header"/>
      <w:ind w:left="-720"/>
      <w:rPr>
        <w:i/>
      </w:rPr>
    </w:pPr>
    <w:r w:rsidRPr="00245E85">
      <w:rPr>
        <w:i/>
      </w:rPr>
      <w:t xml:space="preserve">MCA </w:t>
    </w:r>
    <w:r w:rsidR="00881910">
      <w:rPr>
        <w:i/>
      </w:rPr>
      <w:t>–</w:t>
    </w:r>
    <w:r w:rsidRPr="00245E85">
      <w:rPr>
        <w:i/>
      </w:rPr>
      <w:t xml:space="preserve"> </w:t>
    </w:r>
    <w:r w:rsidR="00881910">
      <w:rPr>
        <w:i/>
      </w:rPr>
      <w:t xml:space="preserve">AppExchange </w:t>
    </w:r>
    <w:r w:rsidRPr="00245E85">
      <w:rPr>
        <w:i/>
      </w:rPr>
      <w:t xml:space="preserve">OEM </w:t>
    </w:r>
    <w:r w:rsidR="00881910">
      <w:rPr>
        <w:i/>
      </w:rPr>
      <w:t>Model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1280"/>
    <w:multiLevelType w:val="hybridMultilevel"/>
    <w:tmpl w:val="F07EA8D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2969523F"/>
    <w:multiLevelType w:val="hybridMultilevel"/>
    <w:tmpl w:val="0588B37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3E1600F"/>
    <w:multiLevelType w:val="hybridMultilevel"/>
    <w:tmpl w:val="B19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7187F"/>
    <w:rsid w:val="00007E1E"/>
    <w:rsid w:val="000E69D9"/>
    <w:rsid w:val="00114B94"/>
    <w:rsid w:val="001D0373"/>
    <w:rsid w:val="00245E85"/>
    <w:rsid w:val="00331242"/>
    <w:rsid w:val="00331591"/>
    <w:rsid w:val="003C100B"/>
    <w:rsid w:val="003E5E6B"/>
    <w:rsid w:val="004B5E76"/>
    <w:rsid w:val="00545B25"/>
    <w:rsid w:val="0057187F"/>
    <w:rsid w:val="00763659"/>
    <w:rsid w:val="00810BD9"/>
    <w:rsid w:val="00881910"/>
    <w:rsid w:val="008F17C8"/>
    <w:rsid w:val="0096033C"/>
    <w:rsid w:val="00A50A7A"/>
    <w:rsid w:val="00BB3673"/>
    <w:rsid w:val="00BC4DD8"/>
    <w:rsid w:val="00BE1D12"/>
    <w:rsid w:val="00BF0501"/>
    <w:rsid w:val="00D113A5"/>
    <w:rsid w:val="00DB4C64"/>
    <w:rsid w:val="00DC32D2"/>
    <w:rsid w:val="00E34227"/>
    <w:rsid w:val="00E517D3"/>
    <w:rsid w:val="00FC3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0B"/>
  </w:style>
  <w:style w:type="paragraph" w:styleId="Heading1">
    <w:name w:val="heading 1"/>
    <w:basedOn w:val="Normal"/>
    <w:next w:val="Normal"/>
    <w:link w:val="Heading1Char"/>
    <w:uiPriority w:val="9"/>
    <w:qFormat/>
    <w:rsid w:val="00331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6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42"/>
    <w:pPr>
      <w:ind w:left="720"/>
      <w:contextualSpacing/>
    </w:pPr>
  </w:style>
  <w:style w:type="character" w:customStyle="1" w:styleId="Heading1Char">
    <w:name w:val="Heading 1 Char"/>
    <w:basedOn w:val="DefaultParagraphFont"/>
    <w:link w:val="Heading1"/>
    <w:uiPriority w:val="9"/>
    <w:rsid w:val="0033124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12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4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B3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673"/>
  </w:style>
  <w:style w:type="paragraph" w:styleId="Footer">
    <w:name w:val="footer"/>
    <w:basedOn w:val="Normal"/>
    <w:link w:val="FooterChar"/>
    <w:uiPriority w:val="99"/>
    <w:unhideWhenUsed/>
    <w:rsid w:val="00BB3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73"/>
  </w:style>
  <w:style w:type="paragraph" w:styleId="TOCHeading">
    <w:name w:val="TOC Heading"/>
    <w:basedOn w:val="Heading1"/>
    <w:next w:val="Normal"/>
    <w:uiPriority w:val="39"/>
    <w:semiHidden/>
    <w:unhideWhenUsed/>
    <w:qFormat/>
    <w:rsid w:val="00BB3673"/>
    <w:pPr>
      <w:outlineLvl w:val="9"/>
    </w:pPr>
  </w:style>
  <w:style w:type="paragraph" w:styleId="BalloonText">
    <w:name w:val="Balloon Text"/>
    <w:basedOn w:val="Normal"/>
    <w:link w:val="BalloonTextChar"/>
    <w:uiPriority w:val="99"/>
    <w:semiHidden/>
    <w:unhideWhenUsed/>
    <w:rsid w:val="00BB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673"/>
    <w:rPr>
      <w:rFonts w:ascii="Tahoma" w:hAnsi="Tahoma" w:cs="Tahoma"/>
      <w:sz w:val="16"/>
      <w:szCs w:val="16"/>
    </w:rPr>
  </w:style>
  <w:style w:type="paragraph" w:styleId="TOC1">
    <w:name w:val="toc 1"/>
    <w:basedOn w:val="Normal"/>
    <w:next w:val="Normal"/>
    <w:autoRedefine/>
    <w:uiPriority w:val="39"/>
    <w:unhideWhenUsed/>
    <w:rsid w:val="00BB3673"/>
    <w:pPr>
      <w:spacing w:after="100"/>
    </w:pPr>
  </w:style>
  <w:style w:type="character" w:styleId="Hyperlink">
    <w:name w:val="Hyperlink"/>
    <w:basedOn w:val="DefaultParagraphFont"/>
    <w:uiPriority w:val="99"/>
    <w:unhideWhenUsed/>
    <w:rsid w:val="00BB3673"/>
    <w:rPr>
      <w:color w:val="0000FF" w:themeColor="hyperlink"/>
      <w:u w:val="single"/>
    </w:rPr>
  </w:style>
  <w:style w:type="character" w:customStyle="1" w:styleId="Heading2Char">
    <w:name w:val="Heading 2 Char"/>
    <w:basedOn w:val="DefaultParagraphFont"/>
    <w:link w:val="Heading2"/>
    <w:uiPriority w:val="9"/>
    <w:rsid w:val="00BB36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11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0169474">
      <w:bodyDiv w:val="1"/>
      <w:marLeft w:val="0"/>
      <w:marRight w:val="0"/>
      <w:marTop w:val="0"/>
      <w:marBottom w:val="0"/>
      <w:divBdr>
        <w:top w:val="none" w:sz="0" w:space="0" w:color="auto"/>
        <w:left w:val="none" w:sz="0" w:space="0" w:color="auto"/>
        <w:bottom w:val="none" w:sz="0" w:space="0" w:color="auto"/>
        <w:right w:val="none" w:sz="0" w:space="0" w:color="auto"/>
      </w:divBdr>
    </w:div>
    <w:div w:id="1807504370">
      <w:bodyDiv w:val="1"/>
      <w:marLeft w:val="0"/>
      <w:marRight w:val="0"/>
      <w:marTop w:val="0"/>
      <w:marBottom w:val="0"/>
      <w:divBdr>
        <w:top w:val="none" w:sz="0" w:space="0" w:color="auto"/>
        <w:left w:val="none" w:sz="0" w:space="0" w:color="auto"/>
        <w:bottom w:val="none" w:sz="0" w:space="0" w:color="auto"/>
        <w:right w:val="none" w:sz="0" w:space="0" w:color="auto"/>
      </w:divBdr>
    </w:div>
    <w:div w:id="214665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78FC40-9901-4C38-B2B9-208462FC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Radha</dc:creator>
  <cp:lastModifiedBy>Jigar Radha</cp:lastModifiedBy>
  <cp:revision>11</cp:revision>
  <dcterms:created xsi:type="dcterms:W3CDTF">2014-04-17T11:33:00Z</dcterms:created>
  <dcterms:modified xsi:type="dcterms:W3CDTF">2014-04-30T14:52:00Z</dcterms:modified>
</cp:coreProperties>
</file>