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2"/>
        </w:rPr>
      </w:pPr>
      <w:r>
        <w:rPr>
          <w:b/>
          <w:sz w:val="32"/>
        </w:rPr>
        <w:t>Supplementary Material</w:t>
      </w:r>
    </w:p>
    <w:p>
      <w:pPr>
        <w:pStyle w:val="Normal"/>
        <w:rPr/>
      </w:pPr>
      <w:r>
        <w:rPr/>
        <w:t xml:space="preserve">Chemical model </w:t>
      </w:r>
      <w:r>
        <w:rPr/>
        <w:t>for STP.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1"/>
        <w:gridCol w:w="2603"/>
        <w:gridCol w:w="2846"/>
      </w:tblGrid>
      <w:tr>
        <w:trPr/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Reactions for GABA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Reaction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Kf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Kb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&lt;===&gt; 2  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21.238 uM^-1.s^-1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6.9463 uM^-1.s^-1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GABA &lt;===&gt; 2  Ca + 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38544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 &lt;===&gt; 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2.6639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2.6639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Docked &lt;===&gt; GABA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0.52216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RR_pool &lt;===&gt; Ca_RR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16.017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3.349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Ca_RR &lt;===&gt; 2  Ca + 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341.59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 &lt;===&gt; 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335.88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 Ca + Buffer &lt;===&gt; Ca4.Buffer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335.88 uM^-4.s^-1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Pools for GABA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name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InitialConc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buffered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3.1699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Ca_RR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GABA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3.4727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Ca4.Buffer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Reactions for glu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Reaction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Kf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Kb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&lt;===&gt; 2  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47.118 uM^-1.s^-1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15.889 uM^-1.s^-1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glu &lt;===&gt; 2  Ca + 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74957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 &lt;===&gt; 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2.6147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2.6147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Docked &lt;===&gt; glu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0.62741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RR_pool &lt;===&gt; Ca_RR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0.99392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0.17877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Ca_RR &lt;===&gt; 2  Ca + 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1986.1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 &lt;===&gt; 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127.73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  Ca + Buffer &lt;===&gt; Ca4.Buffer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127.73 uM^-4.s^-1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Pools for glu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name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InitialConc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buffered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RR_pool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0.872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glu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Ca_RR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4.0953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Ca4.Buffer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Chemical model for non-STP synapses.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1"/>
        <w:gridCol w:w="2603"/>
        <w:gridCol w:w="2846"/>
      </w:tblGrid>
      <w:tr>
        <w:trPr/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Reactions for GABA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Reaction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Kf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Kb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&lt;===&gt; 2  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21.238 uM^-1.s^-1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6.9463 uM^-1.s^-1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GABA &lt;===&gt; 2  Ca + 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38544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Docked &lt;===&gt; GABA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0.52216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Pools for GABA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name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InitialConc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buffered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3.1699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0.10148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GABA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Reactions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for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glu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Reaction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Kf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Kb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&lt;===&gt; 2  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47.118 uM^-1.s^-1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15.889 uM^-1.s^-1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glu &lt;===&gt; 2  Ca + 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74957 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uM^-2.s^-1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  Ca + Docked &lt;===&gt; glu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0.62741 uM^-2.s^-1 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s^-1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Pools for glu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boutons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name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InitialConc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buffered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Ca_ext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0.080001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vesicle_pool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0.872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glu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>
        <w:trPr/>
        <w:tc>
          <w:tcPr>
            <w:tcW w:w="39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Docked</w:t>
            </w:r>
          </w:p>
        </w:tc>
        <w:tc>
          <w:tcPr>
            <w:tcW w:w="26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0.15223 uM</w:t>
            </w:r>
          </w:p>
        </w:tc>
        <w:tc>
          <w:tcPr>
            <w:tcW w:w="2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  <w:t>Electrical model: V in mV, referenced to resting potential. Time in ms.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Ion channel definitions, mostly from Traub, Wong, Miles, and Richardson. 1991. J. Neurophysiol 66:635-650.</w:t>
      </w:r>
    </w:p>
    <w:p>
      <w:pPr>
        <w:pStyle w:val="Normal"/>
        <w:spacing w:before="0" w:after="0"/>
        <w:rPr>
          <w:rFonts w:eastAsia="" w:eastAsiaTheme="minorEastAsia"/>
        </w:rPr>
      </w:pPr>
      <w:r>
        <w:rPr/>
      </w:r>
    </w:p>
    <w:p>
      <w:pPr>
        <w:pStyle w:val="Normal"/>
        <w:spacing w:before="0" w:after="0"/>
        <w:rPr>
          <w:rFonts w:eastAsia="" w:eastAsiaTheme="minorEastAsia"/>
        </w:rPr>
      </w:pPr>
      <w:r>
        <w:rPr>
          <w:rFonts w:eastAsia="" w:eastAsiaTheme="minorEastAsia"/>
        </w:rPr>
      </w:r>
    </w:p>
    <w:p>
      <w:pPr>
        <w:pStyle w:val="Normal"/>
        <w:spacing w:before="0" w:after="0"/>
        <w:rPr/>
      </w:pPr>
      <w:r>
        <w:rPr/>
        <w:t>gNa = gmaxNa.m</w:t>
      </w:r>
      <w:r>
        <w:rPr>
          <w:vertAlign w:val="superscript"/>
        </w:rPr>
        <w:t>2</w:t>
      </w:r>
      <w:r>
        <w:rPr/>
        <w:t>h</w:t>
        <w:tab/>
        <w:tab/>
        <w:tab/>
        <w:tab/>
        <w:t>ENa = 115</w:t>
      </w:r>
    </w:p>
    <w:p>
      <w:pPr>
        <w:pStyle w:val="Normal"/>
        <w:spacing w:before="0" w:after="0"/>
        <w:rPr/>
      </w:pPr>
      <w:r>
        <w:rPr/>
        <w:t xml:space="preserve">m-gate: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0.32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13.1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exp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13.1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  <w:r>
        <w:rPr>
          <w:rFonts w:eastAsia="" w:eastAsiaTheme="minorEastAsia"/>
        </w:rPr>
        <w:tab/>
        <w:tab/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0.28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40.1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exp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V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40.1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5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</w:p>
    <w:p>
      <w:pPr>
        <w:pStyle w:val="Normal"/>
        <w:spacing w:before="0" w:after="0"/>
        <w:rPr/>
      </w:pPr>
      <w:r>
        <w:rPr/>
        <w:t xml:space="preserve">h-gate: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0.128</m:t>
        </m:r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num>
            <m:r>
              <w:rPr>
                <w:rFonts w:ascii="Cambria Math" w:hAnsi="Cambria Math"/>
              </w:rPr>
              <m:t xml:space="preserve">17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V</m:t>
            </m:r>
          </m:num>
          <m:den>
            <m:r>
              <w:rPr>
                <w:rFonts w:ascii="Cambria Math" w:hAnsi="Cambria Math"/>
              </w:rPr>
              <m:t xml:space="preserve">18</m:t>
            </m:r>
          </m:den>
        </m:f>
        <m:r>
          <w:rPr>
            <w:rFonts w:ascii="Cambria Math" w:hAnsi="Cambria Math"/>
          </w:rPr>
          <m:t xml:space="preserve">)</m:t>
        </m:r>
      </m:oMath>
      <w:r>
        <w:rPr>
          <w:rFonts w:eastAsia="" w:eastAsiaTheme="minorEastAsia"/>
        </w:rPr>
        <w:tab/>
        <w:tab/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exp</m:t>
            </m:r>
            <m:r>
              <w:rPr>
                <w:rFonts w:ascii="Cambria Math" w:hAnsi="Cambria Math"/>
              </w:rPr>
              <m:t xml:space="preserve">⁡</m:t>
            </m:r>
            <m:r>
              <w:rPr>
                <w:rFonts w:ascii="Cambria Math" w:hAnsi="Cambria Math"/>
              </w:rPr>
              <m:t xml:space="preserve">(</m:t>
            </m:r>
            <m:f>
              <m:num>
                <m:r>
                  <w:rPr>
                    <w:rFonts w:ascii="Cambria Math" w:hAnsi="Cambria Math"/>
                  </w:rPr>
                  <m:t xml:space="preserve">40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V</m:t>
                </m:r>
              </m:num>
              <m:den>
                <m:r>
                  <w:rPr>
                    <w:rFonts w:ascii="Cambria Math" w:hAnsi="Cambria Math"/>
                  </w:rPr>
                  <m:t xml:space="preserve">5</m:t>
                </m:r>
              </m:den>
            </m:f>
            <m:r>
              <w:rPr>
                <w:rFonts w:ascii="Cambria Math" w:hAnsi="Cambria Math"/>
              </w:rPr>
              <m:t xml:space="preserve">)</m:t>
            </m:r>
          </m:den>
        </m:f>
      </m:oMath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gKDR = gmaxKDR.n</w:t>
        <w:tab/>
        <w:tab/>
        <w:tab/>
        <w:tab/>
        <w:t>EKDR = -15</w:t>
      </w:r>
    </w:p>
    <w:p>
      <w:pPr>
        <w:pStyle w:val="Normal"/>
        <w:spacing w:before="0" w:after="0"/>
        <w:rPr/>
      </w:pPr>
      <w:r>
        <w:rPr/>
        <w:t xml:space="preserve">n-gate: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0.016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35.1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V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exp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35.1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5</m:t>
                    </m:r>
                  </m:den>
                </m:f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den>
        </m:f>
      </m:oMath>
      <w:r>
        <w:rPr>
          <w:rFonts w:eastAsia="" w:eastAsiaTheme="minorEastAsia"/>
        </w:rPr>
        <w:tab/>
        <w:tab/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0.25</m:t>
        </m:r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num>
            <m:r>
              <w:rPr>
                <w:rFonts w:ascii="Cambria Math" w:hAnsi="Cambria Math"/>
              </w:rPr>
              <m:t xml:space="preserve">20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V</m:t>
            </m:r>
          </m:num>
          <m:den>
            <m:r>
              <w:rPr>
                <w:rFonts w:ascii="Cambria Math" w:hAnsi="Cambria Math"/>
              </w:rPr>
              <m:t xml:space="preserve">40</m:t>
            </m:r>
          </m:den>
        </m:f>
        <m:r>
          <w:rPr>
            <w:rFonts w:ascii="Cambria Math" w:hAnsi="Cambria Math"/>
          </w:rPr>
          <m:t xml:space="preserve">)</m:t>
        </m:r>
      </m:oMath>
    </w:p>
    <w:p>
      <w:pPr>
        <w:pStyle w:val="Normal"/>
        <w:spacing w:before="0" w:after="0"/>
        <w:rPr/>
      </w:pPr>
      <w:r>
        <w:rPr/>
        <w:tab/>
      </w:r>
    </w:p>
    <w:p>
      <w:pPr>
        <w:pStyle w:val="Normal"/>
        <w:spacing w:before="0" w:after="0"/>
        <w:rPr>
          <w:rFonts w:eastAsia="" w:eastAsiaTheme="minorEastAsia"/>
        </w:rPr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eastAsia="" w:eastAsiaTheme="minorEastAsia"/>
        </w:rPr>
      </w:pPr>
      <w:r>
        <w:rPr>
          <w:rFonts w:eastAsia="" w:eastAsiaTheme="minorEastAsia"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GluR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.</m:t>
            </m:r>
            <m:sSub>
              <m:e>
                <m:r>
                  <w:rPr>
                    <w:rFonts w:ascii="Cambria Math" w:hAnsi="Cambria Math"/>
                  </w:rPr>
                  <m:t xml:space="preserve">gmax</m:t>
                </m:r>
              </m:e>
              <m:sub>
                <m:r>
                  <w:rPr>
                    <w:rFonts w:ascii="Cambria Math" w:hAnsi="Cambria Math"/>
                  </w:rPr>
                  <m:t xml:space="preserve">GluR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num>
          <m:den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exp</m:t>
            </m:r>
            <m:r>
              <w:rPr>
                <w:rFonts w:ascii="Cambria Math" w:hAnsi="Cambria Math"/>
              </w:rPr>
              <m:t xml:space="preserve">⁡</m:t>
            </m:r>
            <m:r>
              <w:rPr>
                <w:rFonts w:ascii="Cambria Math" w:hAnsi="Cambria Math"/>
              </w:rPr>
              <m:t xml:space="preserve">(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</w:rPr>
                  <m:t xml:space="preserve">τ</m:t>
                </m:r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)</m:t>
            </m:r>
          </m:den>
        </m:f>
      </m:oMath>
      <w:r>
        <w:rPr>
          <w:rFonts w:eastAsia="" w:eastAsiaTheme="minorEastAsia"/>
        </w:rPr>
        <w:tab/>
        <w:tab/>
        <w:t>where</w:t>
      </w:r>
    </w:p>
    <w:p>
      <w:pPr>
        <w:pStyle w:val="Normal"/>
        <w:spacing w:before="0" w:after="0"/>
        <w:rPr/>
      </w:pPr>
      <w:r>
        <w:rPr/>
        <w:t>A = normalization constant such that gGluR = gmaxGluR at peak, and</w:t>
      </w:r>
    </w:p>
    <w:p>
      <w:pPr>
        <w:pStyle w:val="Normal"/>
        <w:spacing w:before="0" w:after="0"/>
        <w:rPr/>
      </w:pPr>
      <w:r>
        <w:rPr>
          <w:rFonts w:eastAsia="Calibri" w:cs="" w:ascii="DejaVu Math TeX Gyre" w:hAnsi="DejaVu Math TeX Gyre"/>
        </w:rPr>
        <w:t>τ</w:t>
      </w:r>
      <w:r>
        <w:rPr/>
        <w:t>1 = 2</w:t>
        <w:tab/>
        <w:tab/>
        <w:tab/>
        <w:tab/>
        <w:tab/>
        <w:tab/>
      </w:r>
      <w:r>
        <w:rPr>
          <w:rFonts w:eastAsia="Calibri" w:cs="" w:ascii="DejaVu Math TeX Gyre" w:hAnsi="DejaVu Math TeX Gyre"/>
        </w:rPr>
        <w:t>τ</w:t>
      </w:r>
      <w:r>
        <w:rPr/>
        <w:t>2 = 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eastAsia="" w:eastAsiaTheme="minorEastAsia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GABAR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.</m:t>
            </m:r>
            <m:sSub>
              <m:e>
                <m:r>
                  <w:rPr>
                    <w:rFonts w:ascii="Cambria Math" w:hAnsi="Cambria Math"/>
                  </w:rPr>
                  <m:t xml:space="preserve">gmax</m:t>
                </m:r>
              </m:e>
              <m:sub>
                <m:r>
                  <w:rPr>
                    <w:rFonts w:ascii="Cambria Math" w:hAnsi="Cambria Math"/>
                  </w:rPr>
                  <m:t xml:space="preserve">GABAR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num>
          <m:den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exp</m:t>
            </m:r>
            <m:r>
              <w:rPr>
                <w:rFonts w:ascii="Cambria Math" w:hAnsi="Cambria Math"/>
              </w:rPr>
              <m:t xml:space="preserve">⁡</m:t>
            </m:r>
            <m:r>
              <w:rPr>
                <w:rFonts w:ascii="Cambria Math" w:hAnsi="Cambria Math"/>
              </w:rPr>
              <m:t xml:space="preserve">(</m:t>
            </m:r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</w:rPr>
                  <m:t xml:space="preserve">τ</m:t>
                </m:r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)</m:t>
            </m:r>
          </m:den>
        </m:f>
      </m:oMath>
      <w:r>
        <w:rPr>
          <w:rFonts w:eastAsia="" w:eastAsiaTheme="minorEastAsia"/>
        </w:rPr>
        <w:tab/>
        <w:tab/>
        <w:t>where</w:t>
      </w:r>
    </w:p>
    <w:p>
      <w:pPr>
        <w:pStyle w:val="Normal"/>
        <w:spacing w:before="0" w:after="0"/>
        <w:rPr/>
      </w:pPr>
      <w:r>
        <w:rPr/>
        <w:t>A = normalization constant such that gGABAR = gmaxGABAR at peak, and</w:t>
      </w:r>
    </w:p>
    <w:p>
      <w:pPr>
        <w:pStyle w:val="Normal"/>
        <w:spacing w:before="0" w:after="0"/>
        <w:rPr/>
      </w:pPr>
      <w:r>
        <w:rPr>
          <w:rFonts w:eastAsia="Calibri" w:cs="" w:ascii="DejaVu Math TeX Gyre" w:hAnsi="DejaVu Math TeX Gyre"/>
        </w:rPr>
        <w:t>τ1</w:t>
      </w:r>
      <w:r>
        <w:rPr/>
        <w:t xml:space="preserve"> = 4</w:t>
        <w:tab/>
        <w:tab/>
        <w:tab/>
        <w:tab/>
        <w:tab/>
        <w:tab/>
      </w:r>
      <w:r>
        <w:rPr>
          <w:rFonts w:eastAsia="Calibri" w:cs="" w:ascii="DejaVu Math TeX Gyre" w:hAnsi="DejaVu Math TeX Gyre"/>
        </w:rPr>
        <w:t>τ</w:t>
      </w:r>
      <w:r>
        <w:rPr/>
        <w:t>2 = 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eastAsia="" w:eastAsiaTheme="minorEastAsia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NMDAR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gmax</m:t>
                </m:r>
              </m:e>
              <m:sub>
                <m:r>
                  <w:rPr>
                    <w:rFonts w:ascii="Cambria Math" w:hAnsi="Cambria Math"/>
                  </w:rPr>
                  <m:t xml:space="preserve">NMDAR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num>
          <m:den>
            <m:r>
              <w:rPr>
                <w:rFonts w:ascii="Cambria Math" w:hAnsi="Cambria Math"/>
              </w:rPr>
              <m:t xml:space="preserve">τ</m:t>
            </m:r>
            <m:r>
              <w:rPr>
                <w:rFonts w:ascii="Cambria Math" w:hAnsi="Cambria Math"/>
              </w:rPr>
              <m:t xml:space="preserve">)</m:t>
            </m:r>
            <m:f>
              <m:num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Mg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</w:rPr>
                      <m:t xml:space="preserve">Mg</m:t>
                    </m:r>
                  </m:e>
                </m:d>
              </m:den>
            </m:f>
          </m:den>
        </m:f>
      </m:oMath>
      <w:r>
        <w:rPr>
          <w:rFonts w:eastAsia="" w:eastAsiaTheme="minorEastAsia"/>
        </w:rPr>
        <w:tab/>
        <w:tab/>
        <w:tab/>
        <w:t>where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Mg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exp</m:t>
        </m:r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Erest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γ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η</m:t>
            </m:r>
          </m:den>
        </m:f>
      </m:oMath>
      <w:r>
        <w:rPr>
          <w:rFonts w:eastAsia="" w:eastAsiaTheme="minorEastAsia"/>
        </w:rPr>
        <w:tab/>
        <w:tab/>
        <w:tab/>
      </w:r>
      <w:r>
        <w:rPr>
          <w:rFonts w:eastAsia="Calibri" w:cs="" w:ascii="DejaVu Math TeX Gyre" w:hAnsi="DejaVu Math TeX Gyre"/>
        </w:rPr>
        <w:t>τ</w:t>
      </w:r>
      <w:r>
        <w:rPr/>
        <w:t>= 20</w:t>
      </w:r>
    </w:p>
    <w:p>
      <w:pPr>
        <w:pStyle w:val="Normal"/>
        <w:spacing w:before="0" w:after="0"/>
        <w:rPr/>
      </w:pPr>
      <w:r>
        <w:rPr>
          <w:rFonts w:eastAsia="Calibri" w:cs="" w:ascii="DejaVu Math TeX Gyre" w:hAnsi="DejaVu Math TeX Gyre"/>
        </w:rPr>
        <w:t>γ</w:t>
      </w:r>
      <w:r>
        <w:rPr/>
        <w:t xml:space="preserve"> = 0.28</w:t>
        <w:tab/>
        <w:tab/>
        <w:tab/>
        <w:tab/>
        <w:tab/>
        <w:tab/>
      </w:r>
      <w:r>
        <w:rPr>
          <w:rFonts w:eastAsia="Calibri" w:cs="" w:ascii="DejaVu Math TeX Gyre" w:hAnsi="DejaVu Math TeX Gyre"/>
        </w:rPr>
        <w:t>η</w:t>
      </w:r>
      <w:r>
        <w:rPr/>
        <w:t>= 62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Symbol" w:hAnsi="Symbol"/>
        </w:rPr>
      </w:pPr>
      <w:r>
        <w:rPr/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NMDAR</m:t>
                </m:r>
              </m:e>
              <m:sub>
                <m:r>
                  <w:rPr>
                    <w:rFonts w:ascii="Cambria Math" w:hAnsi="Cambria Math"/>
                  </w:rPr>
                  <m:t xml:space="preserve">Ca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g</m:t>
            </m:r>
          </m:e>
          <m:sub>
            <m:r>
              <w:rPr>
                <w:rFonts w:ascii="Cambria Math" w:hAnsi="Cambria Math"/>
              </w:rPr>
              <m:t xml:space="preserve">NMDAR</m:t>
            </m:r>
          </m:sub>
        </m:sSub>
        <m:r>
          <w:rPr>
            <w:rFonts w:ascii="Cambria Math" w:hAnsi="Cambria Math"/>
          </w:rPr>
          <m:t xml:space="preserve">.</m:t>
        </m:r>
        <m:sSub>
          <m:e>
            <m:r>
              <w:rPr>
                <w:rFonts w:ascii="Cambria Math" w:hAnsi="Cambria Math"/>
              </w:rPr>
              <m:t xml:space="preserve">Ca</m:t>
            </m:r>
          </m:e>
          <m:sub>
            <m:f>
              <m:num/>
              <m:den>
                <m:r>
                  <w:rPr>
                    <w:rFonts w:ascii="Cambria Math" w:hAnsi="Cambria Math"/>
                  </w:rPr>
                  <m:t xml:space="preserve">.</m:t>
                </m:r>
              </m:den>
            </m:f>
            <m:r>
              <w:rPr>
                <w:rFonts w:ascii="Cambria Math" w:hAnsi="Cambria Math"/>
              </w:rPr>
              <m:t xml:space="preserve">ln</m:t>
            </m:r>
            <m:r>
              <w:rPr>
                <w:rFonts w:ascii="Cambria Math" w:hAnsi="Cambria Math"/>
              </w:rPr>
              <m:t xml:space="preserve">⁡</m:t>
            </m:r>
            <m:r>
              <w:rPr>
                <w:rFonts w:ascii="Cambria Math" w:hAnsi="Cambria Math"/>
              </w:rPr>
              <m:t xml:space="preserve">(</m:t>
            </m:r>
            <m:f>
              <m:fPr>
                <m:type m:val="lin"/>
              </m:fPr>
              <m:num>
                <m:d>
                  <m:dPr>
                    <m:begChr m:val="["/>
                    <m:endChr m:val="]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out</m:t>
                        </m:r>
                      </m:sub>
                    </m:sSub>
                  </m:e>
                </m:d>
              </m:num>
              <m:den>
                <m:d>
                  <m:dPr>
                    <m:begChr m:val="["/>
                    <m:endChr m:val="]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Ca</m:t>
                        </m:r>
                      </m:e>
                      <m:sub/>
                    </m:sSub>
                  </m:e>
                </m:d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.</m:t>
                </m:r>
                <m:r>
                  <w:rPr>
                    <w:rFonts w:ascii="Cambria Math" w:hAnsi="Cambria Math"/>
                  </w:rPr>
                  <m:t xml:space="preserve">V</m:t>
                </m:r>
                <m:r>
                  <w:rPr>
                    <w:rFonts w:ascii="Cambria Math" w:hAnsi="Cambria Math"/>
                  </w:rPr>
                  <m:t xml:space="preserve">.</m:t>
                </m:r>
                <m:f>
                  <m:num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Ca</m:t>
                            </m:r>
                          </m:e>
                          <m:sub/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φ</m:t>
                    </m:r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out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φ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Ca</m:t>
                            </m:r>
                          </m:e>
                          <m:sub/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Ca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out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)</m:t>
                    </m:r>
                  </m:den>
                </m:f>
              </m:den>
            </m:f>
          </m:sub>
        </m:sSub>
      </m:oMath>
      <w:r>
        <w:rPr>
          <w:rFonts w:eastAsia="" w:eastAsiaTheme="minorEastAsia"/>
        </w:rPr>
        <w:tab/>
        <w:t>where</w:t>
      </w:r>
    </w:p>
    <w:p>
      <w:pPr>
        <w:pStyle w:val="Normal"/>
        <w:spacing w:before="0" w:after="0"/>
        <w:rPr>
          <w:rFonts w:ascii="Symbol" w:hAnsi="Symbol"/>
        </w:rPr>
      </w:pPr>
      <w:r>
        <w:rPr>
          <w:rFonts w:ascii="Symbol" w:hAnsi="Symbol"/>
        </w:rPr>
        <w:t>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exp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VFz</m:t>
            </m:r>
          </m:num>
          <m:den>
            <m:r>
              <w:rPr>
                <w:rFonts w:ascii="Cambria Math" w:hAnsi="Cambria Math"/>
              </w:rPr>
              <m:t xml:space="preserve">RT</m:t>
            </m:r>
          </m:den>
        </m:f>
        <m:r>
          <w:rPr>
            <w:rFonts w:ascii="Cambria Math" w:hAnsi="Cambria Math"/>
          </w:rPr>
          <m:t xml:space="preserve">)</m:t>
        </m:r>
      </m:oMath>
      <w:r>
        <w:rPr>
          <w:rFonts w:eastAsia="" w:ascii="Symbol" w:hAnsi="Symbol" w:eastAsiaTheme="minorEastAsia"/>
        </w:rPr>
        <w:tab/>
        <w:tab/>
        <w:tab/>
        <w:tab/>
      </w:r>
      <w:r>
        <w:rPr/>
        <w:t>F = 96485 sA/mol</w:t>
      </w:r>
    </w:p>
    <w:p>
      <w:pPr>
        <w:pStyle w:val="Normal"/>
        <w:spacing w:before="0" w:after="0"/>
        <w:rPr/>
      </w:pPr>
      <w:r>
        <w:rPr/>
        <w:t>z = 2</w:t>
        <w:tab/>
        <w:tab/>
        <w:tab/>
        <w:tab/>
        <w:tab/>
        <w:tab/>
        <w:t>R = 8.314 J/(K.mol)</w:t>
      </w:r>
    </w:p>
    <w:p>
      <w:pPr>
        <w:pStyle w:val="Normal"/>
        <w:spacing w:before="0" w:after="0"/>
        <w:rPr/>
      </w:pPr>
      <w:r>
        <w:rPr/>
        <w:t>T = 300 Kelvin</w:t>
        <w:tab/>
        <w:tab/>
        <w:tab/>
        <w:tab/>
        <w:tab/>
      </w:r>
    </w:p>
    <w:p>
      <w:pPr>
        <w:pStyle w:val="Normal"/>
        <w:spacing w:before="0" w:after="0"/>
        <w:rPr/>
      </w:pPr>
      <w:r>
        <w:rPr/>
        <w:t>Ca</w:t>
      </w:r>
      <w:r>
        <w:rPr>
          <w:vertAlign w:val="subscript"/>
        </w:rPr>
        <w:t>frac</w:t>
      </w:r>
      <w:r>
        <w:rPr/>
        <w:t>= fraction of current carried at 0 mV by Ca = 0.02</w:t>
      </w:r>
    </w:p>
    <w:p>
      <w:pPr>
        <w:pStyle w:val="Normal"/>
        <w:spacing w:before="0" w:after="0"/>
        <w:rPr/>
      </w:pPr>
      <w:r>
        <w:rPr/>
        <w:t>[Ca_out] = 1.5mM</w:t>
        <w:tab/>
        <w:tab/>
        <w:tab/>
        <w:tab/>
        <w:t xml:space="preserve">[Ca_in] = 0.08 </w:t>
      </w:r>
      <w:r>
        <w:rPr>
          <w:rFonts w:ascii="Symbol" w:hAnsi="Symbol"/>
        </w:rPr>
        <w:t></w:t>
      </w:r>
      <w:r>
        <w:rPr/>
        <w:t>M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Calcium pools:</w:t>
      </w:r>
    </w:p>
    <w:p>
      <w:pPr>
        <w:pStyle w:val="Normal"/>
        <w:spacing w:before="0" w:after="0"/>
        <w:rPr/>
      </w:pPr>
      <w:r>
        <w:rPr/>
        <w:t xml:space="preserve">d[Ca]/dt = </w:t>
      </w:r>
      <w:r>
        <w:rPr>
          <w:rFonts w:ascii="Symbol" w:hAnsi="Symbol"/>
        </w:rPr>
        <w:t></w:t>
      </w:r>
      <w:r>
        <w:rPr/>
        <w:t>(ICa + CaNMDA) –[Ca]/13.33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Passive properties</w:t>
      </w:r>
    </w:p>
    <w:p>
      <w:pPr>
        <w:pStyle w:val="Normal"/>
        <w:spacing w:before="0" w:after="0"/>
        <w:rPr/>
      </w:pPr>
      <w:r>
        <w:rPr/>
        <w:t xml:space="preserve">RM = </w:t>
      </w:r>
      <w:r>
        <w:rPr/>
        <w:t>0</w:t>
      </w:r>
      <w:r>
        <w:rPr/>
        <w:t>.</w:t>
      </w:r>
      <w:r>
        <w:rPr/>
        <w:t>2</w:t>
      </w:r>
      <w:r>
        <w:rPr/>
        <w:t xml:space="preserve"> Ω.m</w:t>
      </w:r>
      <w:r>
        <w:rPr>
          <w:vertAlign w:val="superscript"/>
        </w:rPr>
        <w:t>2</w:t>
        <w:tab/>
        <w:tab/>
        <w:tab/>
      </w:r>
      <w:r>
        <w:rPr/>
        <w:t>RA = 1.0 Ω.m</w:t>
        <w:tab/>
        <w:tab/>
        <w:tab/>
        <w:t>CM = 0.01 F/m</w:t>
      </w:r>
      <w:r>
        <w:rPr>
          <w:vertAlign w:val="superscript"/>
        </w:rPr>
        <w:t>2</w:t>
      </w:r>
    </w:p>
    <w:p>
      <w:pPr>
        <w:pStyle w:val="Normal"/>
        <w:rPr/>
      </w:pPr>
      <w:r>
        <w:rPr/>
        <w:t>Erest = -70 mV.</w:t>
      </w:r>
    </w:p>
    <w:p>
      <w:pPr>
        <w:pStyle w:val="Normal"/>
        <w:rPr/>
      </w:pPr>
      <w:r>
        <w:rPr/>
        <w:t>Channel distributions</w:t>
      </w:r>
    </w:p>
    <w:tbl>
      <w:tblPr>
        <w:tblStyle w:val="TableGrid"/>
        <w:tblW w:w="95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2"/>
        <w:gridCol w:w="3192"/>
        <w:gridCol w:w="3192"/>
      </w:tblGrid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Channel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Zone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Distribution, i.e., Gmax. (S/m</w:t>
            </w:r>
            <w:r>
              <w:rPr>
                <w:rFonts w:eastAsia="Calibri" w:cs=""/>
                <w:kern w:val="0"/>
                <w:sz w:val="22"/>
                <w:szCs w:val="22"/>
                <w:vertAlign w:val="super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Na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Soma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600</w:t>
            </w:r>
          </w:p>
        </w:tc>
      </w:tr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K_DR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Soma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360</w:t>
            </w:r>
          </w:p>
        </w:tc>
      </w:tr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GABA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Dendrite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50</w:t>
            </w:r>
          </w:p>
        </w:tc>
      </w:tr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GluR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Spine Heads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NMDAR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Spine Heads</w:t>
            </w:r>
          </w:p>
        </w:tc>
        <w:tc>
          <w:tcPr>
            <w:tcW w:w="3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Math TeX Gyre">
    <w:charset w:val="01"/>
    <w:family w:val="auto"/>
    <w:pitch w:val="default"/>
  </w:font>
  <w:font w:name="Symbo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220496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6220496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17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57b72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57b72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251eb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51eb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57b7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251eb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51eb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3778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Application>LibreOffice/24.8.1.2$Linux_X86_64 LibreOffice_project/480$Build-2</Application>
  <AppVersion>15.0000</AppVersion>
  <Pages>6</Pages>
  <Words>561</Words>
  <Characters>2450</Characters>
  <CharactersWithSpaces>2931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2016-12-27T17:12:00Z</dcterms:created>
  <dc:creator>bhalla</dc:creator>
  <dc:description/>
  <dc:language>en-IN</dc:language>
  <cp:lastModifiedBy>Upinder Bhalla</cp:lastModifiedBy>
  <cp:lastPrinted>2017-03-31T16:13:00Z</cp:lastPrinted>
  <dcterms:modified xsi:type="dcterms:W3CDTF">2024-10-23T18:01:19Z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