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Bird strikes data engineering assessment</w:t>
      </w:r>
    </w:p>
    <w:p>
      <w:r>
        <w:t>Snowflake ingestion and dbt reporting</w:t>
        <w:br/>
        <w:t>Saroj Bhandari · 26 October 2026</w:t>
      </w:r>
    </w:p>
    <w:p>
      <w:pPr>
        <w:pStyle w:val="Heading2"/>
      </w:pPr>
      <w:r>
        <w:t>Outcome</w:t>
      </w:r>
    </w:p>
    <w:p>
      <w:r>
        <w:t>The five supplier deliveries reconcile to 25,518 current wildlife incidents. The implementation distinguishes daily changes from a complete weekly snapshot, preserves source evidence and records quality issues without silently excluding incidents.</w:t>
      </w:r>
    </w:p>
    <w:tbl>
      <w:tblPr>
        <w:tblW w:type="auto" w:w="0"/>
        <w:tblLayout w:type="autofit"/>
        <w:tblLook w:firstColumn="1" w:firstRow="1" w:lastColumn="0" w:lastRow="0" w:noHBand="0" w:noVBand="1" w:val="04A0"/>
      </w:tblPr>
      <w:tblGrid>
        <w:gridCol w:w="5112"/>
        <w:gridCol w:w="5112"/>
      </w:tblGrid>
      <w:tr>
        <w:trPr>
          <w:cantSplit/>
          <w:tblHeader/>
        </w:trPr>
        <w:tc>
          <w:tcPr>
            <w:tcW w:type="dxa" w:w="5112"/>
            <w:shd w:fill="173F50"/>
            <w:tcBorders>
              <w:top w:val="single" w:sz="4" w:color="D9D9D9"/>
              <w:left w:val="single" w:sz="4" w:color="D9D9D9"/>
              <w:bottom w:val="single" w:sz="4" w:color="D9D9D9"/>
              <w:right w:val="single" w:sz="4" w:color="D9D9D9"/>
            </w:tcBorders>
          </w:tcPr>
          <w:p>
            <w:pPr>
              <w:spacing w:after="100" w:before="100"/>
            </w:pPr>
            <w:r>
              <w:rPr>
                <w:b/>
                <w:color w:val="FFFFFF"/>
                <w:sz w:val="18"/>
              </w:rPr>
              <w:t>Measure</w:t>
            </w:r>
          </w:p>
        </w:tc>
        <w:tc>
          <w:tcPr>
            <w:tcW w:type="dxa" w:w="5112"/>
            <w:shd w:fill="173F50"/>
            <w:tcBorders>
              <w:top w:val="single" w:sz="4" w:color="D9D9D9"/>
              <w:left w:val="single" w:sz="4" w:color="D9D9D9"/>
              <w:bottom w:val="single" w:sz="4" w:color="D9D9D9"/>
              <w:right w:val="single" w:sz="4" w:color="D9D9D9"/>
            </w:tcBorders>
          </w:tcPr>
          <w:p>
            <w:pPr>
              <w:spacing w:after="100" w:before="100"/>
            </w:pPr>
            <w:r>
              <w:rPr>
                <w:b/>
                <w:color w:val="FFFFFF"/>
                <w:sz w:val="18"/>
              </w:rPr>
              <w:t>Result</w:t>
            </w:r>
          </w:p>
        </w:tc>
      </w:tr>
      <w:tr>
        <w:trPr>
          <w:cantSplit/>
        </w:trPr>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Final incidents</w:t>
            </w:r>
          </w:p>
        </w:tc>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25,518</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Final inserts and deletes</w:t>
            </w:r>
          </w:p>
        </w:tc>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2,903 inserts; 40 deletes</w:t>
            </w:r>
          </w:p>
        </w:tc>
      </w:tr>
      <w:tr>
        <w:trPr>
          <w:cantSplit/>
        </w:trPr>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Highest reported airport</w:t>
            </w:r>
          </w:p>
        </w:tc>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Dallas/Fort Worth: 803 incidents</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Most frequent phase</w:t>
            </w:r>
          </w:p>
        </w:tc>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Approach: 10,369 incidents (40.6%)</w:t>
            </w:r>
          </w:p>
        </w:tc>
      </w:tr>
      <w:tr>
        <w:trPr>
          <w:cantSplit/>
        </w:trPr>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Highest species cost</w:t>
            </w:r>
          </w:p>
        </w:tc>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Canada goose: 20,664,597 source dollars</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Incidents with quality warnings</w:t>
            </w:r>
          </w:p>
        </w:tc>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957 (3.75%)</w:t>
            </w:r>
          </w:p>
        </w:tc>
      </w:tr>
    </w:tbl>
    <w:p>
      <w:pPr>
        <w:spacing w:after="60" w:line="60" w:lineRule="exact"/>
      </w:pPr>
    </w:p>
    <w:p>
      <w:pPr>
        <w:pStyle w:val="Heading2"/>
      </w:pPr>
      <w:r>
        <w:t>Implementation and verification</w:t>
      </w:r>
    </w:p>
    <w:p>
      <w:r>
        <w:t>The main deliverable includes a Python Snowflake loader, executable setup SQL, a dbt project and a tested local verification path. All 27 Python tests pass. The dbt graph has 13 table models and 40 data tests, executed locally with DuckDB. The Snowflake target parses successfully.</w:t>
      </w:r>
    </w:p>
    <w:p>
      <w:r>
        <w:t>A live Snowflake account was not available during preparation. Authentication, file staging, Snowflake transaction execution and schema publication remain pending live verification. The supplied acceptance script records actual query IDs when run in an account. Static checks and mocked tests are not presented as cloud execution.</w:t>
      </w:r>
    </w:p>
    <w:p>
      <w:pPr>
        <w:pStyle w:val="Heading2"/>
      </w:pPr>
      <w:r>
        <w:t>Interpretation</w:t>
      </w:r>
    </w:p>
    <w:p>
      <w:r>
        <w:t>The supplied population includes non-bird wildlife. Airport name is a reported-airport proxy, not a confirmed departure airport. Costs retain their original values and are assumed USD. AUD fields remain null until a conversion rate, date and source are explicitly supplied. Counts are not exposure-adjusted risk rates.</w:t>
      </w:r>
    </w:p>
    <w:p>
      <w:r>
        <w:br w:type="page"/>
      </w:r>
    </w:p>
    <w:p>
      <w:pPr>
        <w:pStyle w:val="Heading1"/>
      </w:pPr>
      <w:r>
        <w:t>Architecture and change processing</w:t>
      </w:r>
    </w:p>
    <w:p>
      <w:r>
        <w:t>Original CSV files are uploaded to a Snowflake internal stage under checksum paths. The loader validates the delivery contract, prepares effective records and uses PUT/COPY for bulk staging. Within one explicit transaction it acquires the ingestion mutex, applies current-state changes, records compact audit patches, refreshes quality findings and verifies payload hashes before commit. Temporary-table DDL runs before that transaction.</w:t>
      </w:r>
    </w:p>
    <w:tbl>
      <w:tblPr>
        <w:tblW w:type="auto" w:w="0"/>
        <w:tblLayout w:type="autofit"/>
        <w:tblLook w:firstColumn="1" w:firstRow="1" w:lastColumn="0" w:lastRow="0" w:noHBand="0" w:noVBand="1" w:val="04A0"/>
      </w:tblPr>
      <w:tblGrid>
        <w:gridCol w:w="1704"/>
        <w:gridCol w:w="1704"/>
        <w:gridCol w:w="1704"/>
        <w:gridCol w:w="1704"/>
        <w:gridCol w:w="1704"/>
        <w:gridCol w:w="1704"/>
      </w:tblGrid>
      <w:tr>
        <w:trPr>
          <w:cantSplit/>
          <w:tblHeader/>
        </w:trPr>
        <w:tc>
          <w:tcPr>
            <w:tcW w:type="dxa" w:w="1704"/>
            <w:shd w:fill="173F50"/>
            <w:tcBorders>
              <w:top w:val="single" w:sz="4" w:color="D9D9D9"/>
              <w:left w:val="single" w:sz="4" w:color="D9D9D9"/>
              <w:bottom w:val="single" w:sz="4" w:color="D9D9D9"/>
              <w:right w:val="single" w:sz="4" w:color="D9D9D9"/>
            </w:tcBorders>
          </w:tcPr>
          <w:p>
            <w:pPr>
              <w:spacing w:after="100" w:before="100"/>
            </w:pPr>
            <w:r>
              <w:rPr>
                <w:b/>
                <w:color w:val="FFFFFF"/>
                <w:sz w:val="18"/>
              </w:rPr>
              <w:t>Batch</w:t>
            </w:r>
          </w:p>
        </w:tc>
        <w:tc>
          <w:tcPr>
            <w:tcW w:type="dxa" w:w="1704"/>
            <w:shd w:fill="173F50"/>
            <w:tcBorders>
              <w:top w:val="single" w:sz="4" w:color="D9D9D9"/>
              <w:left w:val="single" w:sz="4" w:color="D9D9D9"/>
              <w:bottom w:val="single" w:sz="4" w:color="D9D9D9"/>
              <w:right w:val="single" w:sz="4" w:color="D9D9D9"/>
            </w:tcBorders>
          </w:tcPr>
          <w:p>
            <w:pPr>
              <w:spacing w:after="100" w:before="100"/>
            </w:pPr>
            <w:r>
              <w:rPr>
                <w:b/>
                <w:color w:val="FFFFFF"/>
                <w:sz w:val="18"/>
              </w:rPr>
              <w:t>Valid</w:t>
            </w:r>
          </w:p>
        </w:tc>
        <w:tc>
          <w:tcPr>
            <w:tcW w:type="dxa" w:w="1704"/>
            <w:shd w:fill="173F50"/>
            <w:tcBorders>
              <w:top w:val="single" w:sz="4" w:color="D9D9D9"/>
              <w:left w:val="single" w:sz="4" w:color="D9D9D9"/>
              <w:bottom w:val="single" w:sz="4" w:color="D9D9D9"/>
              <w:right w:val="single" w:sz="4" w:color="D9D9D9"/>
            </w:tcBorders>
          </w:tcPr>
          <w:p>
            <w:pPr>
              <w:spacing w:after="100" w:before="100"/>
            </w:pPr>
            <w:r>
              <w:rPr>
                <w:b/>
                <w:color w:val="FFFFFF"/>
                <w:sz w:val="18"/>
              </w:rPr>
              <w:t>Insert</w:t>
            </w:r>
          </w:p>
        </w:tc>
        <w:tc>
          <w:tcPr>
            <w:tcW w:type="dxa" w:w="1704"/>
            <w:shd w:fill="173F50"/>
            <w:tcBorders>
              <w:top w:val="single" w:sz="4" w:color="D9D9D9"/>
              <w:left w:val="single" w:sz="4" w:color="D9D9D9"/>
              <w:bottom w:val="single" w:sz="4" w:color="D9D9D9"/>
              <w:right w:val="single" w:sz="4" w:color="D9D9D9"/>
            </w:tcBorders>
          </w:tcPr>
          <w:p>
            <w:pPr>
              <w:spacing w:after="100" w:before="100"/>
            </w:pPr>
            <w:r>
              <w:rPr>
                <w:b/>
                <w:color w:val="FFFFFF"/>
                <w:sz w:val="18"/>
              </w:rPr>
              <w:t>Update</w:t>
            </w:r>
          </w:p>
        </w:tc>
        <w:tc>
          <w:tcPr>
            <w:tcW w:type="dxa" w:w="1704"/>
            <w:shd w:fill="173F50"/>
            <w:tcBorders>
              <w:top w:val="single" w:sz="4" w:color="D9D9D9"/>
              <w:left w:val="single" w:sz="4" w:color="D9D9D9"/>
              <w:bottom w:val="single" w:sz="4" w:color="D9D9D9"/>
              <w:right w:val="single" w:sz="4" w:color="D9D9D9"/>
            </w:tcBorders>
          </w:tcPr>
          <w:p>
            <w:pPr>
              <w:spacing w:after="100" w:before="100"/>
            </w:pPr>
            <w:r>
              <w:rPr>
                <w:b/>
                <w:color w:val="FFFFFF"/>
                <w:sz w:val="18"/>
              </w:rPr>
              <w:t>Delete</w:t>
            </w:r>
          </w:p>
        </w:tc>
        <w:tc>
          <w:tcPr>
            <w:tcW w:type="dxa" w:w="1704"/>
            <w:shd w:fill="173F50"/>
            <w:tcBorders>
              <w:top w:val="single" w:sz="4" w:color="D9D9D9"/>
              <w:left w:val="single" w:sz="4" w:color="D9D9D9"/>
              <w:bottom w:val="single" w:sz="4" w:color="D9D9D9"/>
              <w:right w:val="single" w:sz="4" w:color="D9D9D9"/>
            </w:tcBorders>
          </w:tcPr>
          <w:p>
            <w:pPr>
              <w:spacing w:after="100" w:before="100"/>
            </w:pPr>
            <w:r>
              <w:rPr>
                <w:b/>
                <w:color w:val="FFFFFF"/>
                <w:sz w:val="18"/>
              </w:rPr>
              <w:t>Current</w:t>
            </w:r>
          </w:p>
        </w:tc>
      </w:tr>
      <w:tr>
        <w:trPr>
          <w:cantSplit/>
        </w:trPr>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Base</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13,206</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13,206</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13,206</w:t>
            </w:r>
          </w:p>
        </w:tc>
      </w:tr>
      <w:tr>
        <w:trPr>
          <w:cantSplit/>
        </w:trPr>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Day 1</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4,608</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4,605</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3</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17,811</w:t>
            </w:r>
          </w:p>
        </w:tc>
      </w:tr>
      <w:tr>
        <w:trPr>
          <w:cantSplit/>
        </w:trPr>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Day 2</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3,299</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3,197</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21,008</w:t>
            </w:r>
          </w:p>
        </w:tc>
      </w:tr>
      <w:tr>
        <w:trPr>
          <w:cantSplit/>
        </w:trPr>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Day 3</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1,817</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1,647</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170</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170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22,655</w:t>
            </w:r>
          </w:p>
        </w:tc>
      </w:tr>
      <w:tr>
        <w:trPr>
          <w:cantSplit/>
        </w:trPr>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Final</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25,518</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2,903</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22,615</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40</w:t>
            </w:r>
          </w:p>
        </w:tc>
        <w:tc>
          <w:tcPr>
            <w:tcW w:type="dxa" w:w="1704"/>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25,518</w:t>
            </w:r>
          </w:p>
        </w:tc>
      </w:tr>
    </w:tbl>
    <w:p>
      <w:pPr>
        <w:spacing w:after="60" w:line="60" w:lineRule="exact"/>
      </w:pPr>
    </w:p>
    <w:p>
      <w:r>
        <w:t>Day 2 omits the pilot-warning column. Existing values survive; new incidents remain unknown. Its 102 existing records have no changes to supplied values. Final adds the engines column, so 22,615 surviving records register schema enrichment. This count does not imply that all previous business attributes changed.</w:t>
      </w:r>
    </w:p>
    <w:p>
      <w:pPr>
        <w:pStyle w:val="Heading2"/>
      </w:pPr>
      <w:r>
        <w:t>Deletion safety and restart</w:t>
      </w:r>
    </w:p>
    <w:p>
      <w:r>
        <w:t>A daily missing row never means deletion. Final missing IDs are deleted only after checks pass. A snapshot removing more than 5% of the existing population is rejected before mutation. Raising the threshold requires a recorded reason. The observed deletion fraction is 40 / 22,655 = 0.177%. The 5% threshold is a candidate policy awaiting operational approval.</w:t>
      </w:r>
    </w:p>
    <w:p>
      <w:r>
        <w:t>Snowflake LOAD_AUDIT records sequence, checksum, version and reconciliation metrics. Reruns skip already committed batches. Changed input for a committed batch is rejected. The supplied manifest freezes this assessment dataset; it is not supplier certification of completeness.</w:t>
      </w:r>
    </w:p>
    <w:p>
      <w:pPr>
        <w:pStyle w:val="Heading2"/>
      </w:pPr>
      <w:r>
        <w:t>Publication</w:t>
      </w:r>
    </w:p>
    <w:p>
      <w:r>
        <w:t>dbt builds and tests tables in BUILD. Successful publication swaps BUILD and MART, preserving the former publication until the next build. The full ingestion/build/publication job must run serially. Local verification publishes the database and CSVs through one atomic CURRENT.json pointer. Late failures preserve the complete preceding release.</w:t>
      </w:r>
    </w:p>
    <w:p>
      <w:r>
        <w:br w:type="page"/>
      </w:r>
    </w:p>
    <w:p>
      <w:pPr>
        <w:pStyle w:val="Heading1"/>
      </w:pPr>
      <w:r>
        <w:t>Reporting model and data quality</w:t>
      </w:r>
    </w:p>
    <w:p>
      <w:r>
        <w:t>The fact grain is one current row per Record ID. Seven dimensions describe date, airport, aircraft, operator, wildlife, phase and weather. Dimension keys are deterministic; the dbt path uses length-prefixed values and explicit null markers before hashing. Unknown members preserve fact rows. Relationship and row-count tests protect joins.</w:t>
      </w:r>
    </w:p>
    <w:tbl>
      <w:tblPr>
        <w:tblW w:type="auto" w:w="0"/>
        <w:tblLayout w:type="autofit"/>
        <w:tblLook w:firstColumn="1" w:firstRow="1" w:lastColumn="0" w:lastRow="0" w:noHBand="0" w:noVBand="1" w:val="04A0"/>
      </w:tblPr>
      <w:tblGrid>
        <w:gridCol w:w="3408"/>
        <w:gridCol w:w="3408"/>
        <w:gridCol w:w="3408"/>
      </w:tblGrid>
      <w:tr>
        <w:trPr>
          <w:cantSplit/>
          <w:tblHeader/>
        </w:trPr>
        <w:tc>
          <w:tcPr>
            <w:tcW w:type="dxa" w:w="3408"/>
            <w:shd w:fill="173F50"/>
            <w:tcBorders>
              <w:top w:val="single" w:sz="4" w:color="D9D9D9"/>
              <w:left w:val="single" w:sz="4" w:color="D9D9D9"/>
              <w:bottom w:val="single" w:sz="4" w:color="D9D9D9"/>
              <w:right w:val="single" w:sz="4" w:color="D9D9D9"/>
            </w:tcBorders>
          </w:tcPr>
          <w:p>
            <w:pPr>
              <w:spacing w:after="100" w:before="100"/>
            </w:pPr>
            <w:r>
              <w:rPr>
                <w:b/>
                <w:color w:val="FFFFFF"/>
                <w:sz w:val="18"/>
              </w:rPr>
              <w:t>Finding</w:t>
            </w:r>
          </w:p>
        </w:tc>
        <w:tc>
          <w:tcPr>
            <w:tcW w:type="dxa" w:w="3408"/>
            <w:shd w:fill="173F50"/>
            <w:tcBorders>
              <w:top w:val="single" w:sz="4" w:color="D9D9D9"/>
              <w:left w:val="single" w:sz="4" w:color="D9D9D9"/>
              <w:bottom w:val="single" w:sz="4" w:color="D9D9D9"/>
              <w:right w:val="single" w:sz="4" w:color="D9D9D9"/>
            </w:tcBorders>
          </w:tcPr>
          <w:p>
            <w:pPr>
              <w:spacing w:after="100" w:before="100"/>
            </w:pPr>
            <w:r>
              <w:rPr>
                <w:b/>
                <w:color w:val="FFFFFF"/>
                <w:sz w:val="18"/>
              </w:rPr>
              <w:t>Count</w:t>
            </w:r>
          </w:p>
        </w:tc>
        <w:tc>
          <w:tcPr>
            <w:tcW w:type="dxa" w:w="3408"/>
            <w:shd w:fill="173F50"/>
            <w:tcBorders>
              <w:top w:val="single" w:sz="4" w:color="D9D9D9"/>
              <w:left w:val="single" w:sz="4" w:color="D9D9D9"/>
              <w:bottom w:val="single" w:sz="4" w:color="D9D9D9"/>
              <w:right w:val="single" w:sz="4" w:color="D9D9D9"/>
            </w:tcBorders>
          </w:tcPr>
          <w:p>
            <w:pPr>
              <w:spacing w:after="100" w:before="100"/>
            </w:pPr>
            <w:r>
              <w:rPr>
                <w:b/>
                <w:color w:val="FFFFFF"/>
                <w:sz w:val="18"/>
              </w:rPr>
              <w:t>Treatment</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Altitude conflicts</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Keep source and derived bins; flag</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Exactly 1,000 feet</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825</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Separate boundary category</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Missing date and airport</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129 each</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Unknown values; omit only from dated trend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Invalid engine code</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1</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Typed null; retain raw C</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Wildlife count range conflicts</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0</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Continue validation on each load</w:t>
            </w:r>
          </w:p>
        </w:tc>
      </w:tr>
    </w:tbl>
    <w:p>
      <w:pPr>
        <w:spacing w:after="60" w:line="60" w:lineRule="exact"/>
      </w:pPr>
    </w:p>
    <w:p>
      <w:r>
        <w:t>Record 201979 has 100 feet with a &gt; 1000 ft source bin. Record 205583 has 10,000 feet with a &lt; 1000 ft bin. Record 206990 contains engine code C. These remain traceable in the current quality table.</w:t>
      </w:r>
    </w:p>
    <w:p>
      <w:pPr>
        <w:pStyle w:val="Heading2"/>
      </w:pPr>
      <w:r>
        <w:t>Additional quality check</w:t>
      </w:r>
    </w:p>
    <w:p>
      <w:r>
        <w:t>Engine count must be a nonnegative whole number. Invalid numeric content becomes a typed null and creates an issue. The supplier should confirm whether C is a documented code. Integer parsing uses Decimal rather than float to avoid silently rounding large values.</w:t>
      </w:r>
    </w:p>
    <w:p>
      <w:pPr>
        <w:pStyle w:val="Heading2"/>
      </w:pPr>
      <w:r>
        <w:t>Precipitation</w:t>
      </w:r>
    </w:p>
    <w:p>
      <w:r>
        <w:t>Rain, fog and snow flags preserve combinations. Missing or unsupported values produce unknown flags; explicit None means no listed precipitation. One weather dimension member describes each combination, preventing a weather join from multiplying incidents.</w:t>
      </w:r>
    </w:p>
    <w:p>
      <w:pPr>
        <w:pStyle w:val="Heading2"/>
      </w:pPr>
      <w:r>
        <w:t>Testing and audit</w:t>
      </w:r>
    </w:p>
    <w:p>
      <w:r>
        <w:t>The 27 Python tests cover real Day 2 omissions, blank clearing, snapshot deletion, threshold rejection before mutation, boundary acceptance, override reasons, encoding fallback, invalid keys/schema, numeric precision, stable keys, compact patches, persistent resume and complete-release preservation. Mocked Snowflake tests check rollback and DDL ordering. They do not validate server SQL execution.</w:t>
      </w:r>
    </w:p>
    <w:p>
      <w:r>
        <w:t>Update history stores changed attributes instead of full before/after rows. Original files and current payloads remain available. Generated database files are excluded from the employer package and recreated when needed.</w:t>
      </w:r>
    </w:p>
    <w:p>
      <w:r>
        <w:br w:type="page"/>
      </w:r>
    </w:p>
    <w:p>
      <w:pPr>
        <w:pStyle w:val="Heading1"/>
      </w:pPr>
      <w:r>
        <w:t>Business findings and implications</w:t>
      </w:r>
    </w:p>
    <w:p>
      <w:r>
        <w:t>Dallas/Fort Worth has the most reported incidents: 803 (3.15%). This ranking needs airport-role confirmation before being called a departure-airport ranking. Approach accounts for 10,369 incidents, or 40.6%, followed by Landing Roll with 5,039 (19.7%). These findings support an operational review of arrival activity, without establishing flight-adjusted risk.</w:t>
      </w:r>
    </w:p>
    <w:p>
      <w:r>
        <w:drawing>
          <wp:inline xmlns:a="http://schemas.openxmlformats.org/drawingml/2006/main" xmlns:pic="http://schemas.openxmlformats.org/drawingml/2006/picture">
            <wp:extent cx="6126480" cy="2879446"/>
            <wp:docPr id="1" name="Picture 1"/>
            <wp:cNvGraphicFramePr>
              <a:graphicFrameLocks noChangeAspect="1"/>
            </wp:cNvGraphicFramePr>
            <a:graphic>
              <a:graphicData uri="http://schemas.openxmlformats.org/drawingml/2006/picture">
                <pic:pic>
                  <pic:nvPicPr>
                    <pic:cNvPr id="0" name="annual_incidents.png"/>
                    <pic:cNvPicPr/>
                  </pic:nvPicPr>
                  <pic:blipFill>
                    <a:blip r:embed="rId11"/>
                    <a:stretch>
                      <a:fillRect/>
                    </a:stretch>
                  </pic:blipFill>
                  <pic:spPr>
                    <a:xfrm>
                      <a:off x="0" y="0"/>
                      <a:ext cx="6126480" cy="2879446"/>
                    </a:xfrm>
                    <a:prstGeom prst="rect"/>
                  </pic:spPr>
                </pic:pic>
              </a:graphicData>
            </a:graphic>
          </wp:inline>
        </w:drawing>
      </w:r>
    </w:p>
    <w:p>
      <w:r>
        <w:t>Reported incidents rose 116.0% from 1,367 in 2000 to 2,952 in 2011 and peaked at 3,247 in 2009. The dated trend excludes 129 records. Traffic volume, reporting participation and wildlife exposure are possible explanations; the supplied data cannot identify causation.</w:t>
      </w:r>
    </w:p>
    <w:tbl>
      <w:tblPr>
        <w:tblW w:type="auto" w:w="0"/>
        <w:tblLayout w:type="autofit"/>
        <w:tblLook w:firstColumn="1" w:firstRow="1" w:lastColumn="0" w:lastRow="0" w:noHBand="0" w:noVBand="1" w:val="04A0"/>
      </w:tblPr>
      <w:tblGrid>
        <w:gridCol w:w="2045"/>
        <w:gridCol w:w="2045"/>
        <w:gridCol w:w="2045"/>
        <w:gridCol w:w="2045"/>
        <w:gridCol w:w="2045"/>
      </w:tblGrid>
      <w:tr>
        <w:trPr>
          <w:cantSplit/>
          <w:tblHeader/>
        </w:trPr>
        <w:tc>
          <w:tcPr>
            <w:tcW w:type="dxa" w:w="2045"/>
            <w:shd w:fill="173F50"/>
            <w:tcBorders>
              <w:top w:val="single" w:sz="4" w:color="D9D9D9"/>
              <w:left w:val="single" w:sz="4" w:color="D9D9D9"/>
              <w:bottom w:val="single" w:sz="4" w:color="D9D9D9"/>
              <w:right w:val="single" w:sz="4" w:color="D9D9D9"/>
            </w:tcBorders>
          </w:tcPr>
          <w:p>
            <w:pPr>
              <w:spacing w:after="100" w:before="100"/>
            </w:pPr>
            <w:r>
              <w:rPr>
                <w:b/>
                <w:color w:val="FFFFFF"/>
                <w:sz w:val="18"/>
              </w:rPr>
              <w:t>Species</w:t>
            </w:r>
          </w:p>
        </w:tc>
        <w:tc>
          <w:tcPr>
            <w:tcW w:type="dxa" w:w="2045"/>
            <w:shd w:fill="173F50"/>
            <w:tcBorders>
              <w:top w:val="single" w:sz="4" w:color="D9D9D9"/>
              <w:left w:val="single" w:sz="4" w:color="D9D9D9"/>
              <w:bottom w:val="single" w:sz="4" w:color="D9D9D9"/>
              <w:right w:val="single" w:sz="4" w:color="D9D9D9"/>
            </w:tcBorders>
          </w:tcPr>
          <w:p>
            <w:pPr>
              <w:spacing w:after="100" w:before="100"/>
            </w:pPr>
            <w:r>
              <w:rPr>
                <w:b/>
                <w:color w:val="FFFFFF"/>
                <w:sz w:val="18"/>
              </w:rPr>
              <w:t>Incidents</w:t>
            </w:r>
          </w:p>
        </w:tc>
        <w:tc>
          <w:tcPr>
            <w:tcW w:type="dxa" w:w="2045"/>
            <w:shd w:fill="173F50"/>
            <w:tcBorders>
              <w:top w:val="single" w:sz="4" w:color="D9D9D9"/>
              <w:left w:val="single" w:sz="4" w:color="D9D9D9"/>
              <w:bottom w:val="single" w:sz="4" w:color="D9D9D9"/>
              <w:right w:val="single" w:sz="4" w:color="D9D9D9"/>
            </w:tcBorders>
          </w:tcPr>
          <w:p>
            <w:pPr>
              <w:spacing w:after="100" w:before="100"/>
            </w:pPr>
            <w:r>
              <w:rPr>
                <w:b/>
                <w:color w:val="FFFFFF"/>
                <w:sz w:val="18"/>
              </w:rPr>
              <w:t>Damage recorded</w:t>
            </w:r>
          </w:p>
        </w:tc>
        <w:tc>
          <w:tcPr>
            <w:tcW w:type="dxa" w:w="2045"/>
            <w:shd w:fill="173F50"/>
            <w:tcBorders>
              <w:top w:val="single" w:sz="4" w:color="D9D9D9"/>
              <w:left w:val="single" w:sz="4" w:color="D9D9D9"/>
              <w:bottom w:val="single" w:sz="4" w:color="D9D9D9"/>
              <w:right w:val="single" w:sz="4" w:color="D9D9D9"/>
            </w:tcBorders>
          </w:tcPr>
          <w:p>
            <w:pPr>
              <w:spacing w:after="100" w:before="100"/>
            </w:pPr>
            <w:r>
              <w:rPr>
                <w:b/>
                <w:color w:val="FFFFFF"/>
                <w:sz w:val="18"/>
              </w:rPr>
              <w:t>Damage share</w:t>
            </w:r>
          </w:p>
        </w:tc>
        <w:tc>
          <w:tcPr>
            <w:tcW w:type="dxa" w:w="2045"/>
            <w:shd w:fill="173F50"/>
            <w:tcBorders>
              <w:top w:val="single" w:sz="4" w:color="D9D9D9"/>
              <w:left w:val="single" w:sz="4" w:color="D9D9D9"/>
              <w:bottom w:val="single" w:sz="4" w:color="D9D9D9"/>
              <w:right w:val="single" w:sz="4" w:color="D9D9D9"/>
            </w:tcBorders>
          </w:tcPr>
          <w:p>
            <w:pPr>
              <w:spacing w:after="100" w:before="100"/>
            </w:pPr>
            <w:r>
              <w:rPr>
                <w:b/>
                <w:color w:val="FFFFFF"/>
                <w:sz w:val="18"/>
              </w:rPr>
              <w:t>Reported cost</w:t>
            </w:r>
          </w:p>
        </w:tc>
      </w:tr>
      <w:tr>
        <w:trPr>
          <w:cantSplit/>
        </w:trPr>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Canada goose</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370</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209</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56.49%</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$20,664,597</w:t>
            </w:r>
          </w:p>
        </w:tc>
      </w:tr>
      <w:tr>
        <w:trPr>
          <w:cantSplit/>
        </w:trPr>
        <w:tc>
          <w:tcPr>
            <w:tcW w:type="dxa" w:w="2045"/>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White-tailed deer</w:t>
            </w:r>
          </w:p>
        </w:tc>
        <w:tc>
          <w:tcPr>
            <w:tcW w:type="dxa" w:w="2045"/>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85</w:t>
            </w:r>
          </w:p>
        </w:tc>
        <w:tc>
          <w:tcPr>
            <w:tcW w:type="dxa" w:w="2045"/>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79</w:t>
            </w:r>
          </w:p>
        </w:tc>
        <w:tc>
          <w:tcPr>
            <w:tcW w:type="dxa" w:w="2045"/>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92.94%</w:t>
            </w:r>
          </w:p>
        </w:tc>
        <w:tc>
          <w:tcPr>
            <w:tcW w:type="dxa" w:w="2045"/>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$17,155,662</w:t>
            </w:r>
          </w:p>
        </w:tc>
      </w:tr>
      <w:tr>
        <w:trPr>
          <w:cantSplit/>
        </w:trPr>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Unknown bird - medium</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4316</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509</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11.79%</w:t>
            </w:r>
          </w:p>
        </w:tc>
        <w:tc>
          <w:tcPr>
            <w:tcW w:type="dxa" w:w="2045"/>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$9,953,298</w:t>
            </w:r>
          </w:p>
        </w:tc>
      </w:tr>
    </w:tbl>
    <w:p>
      <w:pPr>
        <w:spacing w:after="60" w:line="60" w:lineRule="exact"/>
      </w:pPr>
    </w:p>
    <w:p>
      <w:r>
        <w:t>Canada goose leads total reported cost. White-tailed deer has fewer incidents but a high recorded damage share. These are shares among reported incidents, not probabilities per flight. Only 1,223 incidents (4.79%) have positive reported cost; zeros may include unrecorded cost. Prevention priorities should consider this coverage limitation.</w:t>
      </w:r>
    </w:p>
    <w:p>
      <w:r>
        <w:br w:type="page"/>
      </w:r>
    </w:p>
    <w:p>
      <w:pPr>
        <w:pStyle w:val="Heading1"/>
      </w:pPr>
      <w:r>
        <w:t>Snowflake execution and operating guide</w:t>
      </w:r>
    </w:p>
    <w:p>
      <w:r>
        <w:t>Start with README.md for complete commands. Use Python 3.10–3.12, create a virtual environment and install requirements-snowflake.txt. Set SNOWFLAKE_ACCOUNT, SNOWFLAKE_USER and an authorised SNOWFLAKE_ROLE locally. The database and warehouse default to dedicated assessment names. Credentials are not included.</w:t>
      </w:r>
    </w:p>
    <w:tbl>
      <w:tblPr>
        <w:tblW w:type="auto" w:w="0"/>
        <w:tblLayout w:type="autofit"/>
        <w:tblLook w:firstColumn="1" w:firstRow="1" w:lastColumn="0" w:lastRow="0" w:noHBand="0" w:noVBand="1" w:val="04A0"/>
      </w:tblPr>
      <w:tblGrid>
        <w:gridCol w:w="5112"/>
        <w:gridCol w:w="5112"/>
      </w:tblGrid>
      <w:tr>
        <w:trPr>
          <w:cantSplit/>
          <w:tblHeader/>
        </w:trPr>
        <w:tc>
          <w:tcPr>
            <w:tcW w:type="dxa" w:w="5112"/>
            <w:shd w:fill="173F50"/>
            <w:tcBorders>
              <w:top w:val="single" w:sz="4" w:color="D9D9D9"/>
              <w:left w:val="single" w:sz="4" w:color="D9D9D9"/>
              <w:bottom w:val="single" w:sz="4" w:color="D9D9D9"/>
              <w:right w:val="single" w:sz="4" w:color="D9D9D9"/>
            </w:tcBorders>
          </w:tcPr>
          <w:p>
            <w:pPr>
              <w:spacing w:after="100" w:before="100"/>
            </w:pPr>
            <w:r>
              <w:rPr>
                <w:b/>
                <w:color w:val="FFFFFF"/>
                <w:sz w:val="18"/>
              </w:rPr>
              <w:t>Step</w:t>
            </w:r>
          </w:p>
        </w:tc>
        <w:tc>
          <w:tcPr>
            <w:tcW w:type="dxa" w:w="5112"/>
            <w:shd w:fill="173F50"/>
            <w:tcBorders>
              <w:top w:val="single" w:sz="4" w:color="D9D9D9"/>
              <w:left w:val="single" w:sz="4" w:color="D9D9D9"/>
              <w:bottom w:val="single" w:sz="4" w:color="D9D9D9"/>
              <w:right w:val="single" w:sz="4" w:color="D9D9D9"/>
            </w:tcBorders>
          </w:tcPr>
          <w:p>
            <w:pPr>
              <w:spacing w:after="100" w:before="100"/>
            </w:pPr>
            <w:r>
              <w:rPr>
                <w:b/>
                <w:color w:val="FFFFFF"/>
                <w:sz w:val="18"/>
              </w:rPr>
              <w:t>Command</w:t>
            </w:r>
          </w:p>
        </w:tc>
      </w:tr>
      <w:tr>
        <w:trPr>
          <w:cantSplit/>
        </w:trPr>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Create objects and ingest</w:t>
            </w:r>
          </w:p>
        </w:tc>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python snowflake_pipeline.py --bootstrap</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Build, test and publish</w:t>
            </w:r>
          </w:p>
        </w:tc>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python scripts/build_snowflake.py --publish</w:t>
            </w:r>
          </w:p>
        </w:tc>
      </w:tr>
      <w:tr>
        <w:trPr>
          <w:cantSplit/>
        </w:trPr>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Verify live results</w:t>
            </w:r>
          </w:p>
        </w:tc>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python scripts/verify_snowflake.py</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Resume an interrupted load</w:t>
            </w:r>
          </w:p>
        </w:tc>
        <w:tc>
          <w:tcPr>
            <w:tcW w:type="dxa" w:w="51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python snowflake_pipeline.py</w:t>
            </w:r>
          </w:p>
        </w:tc>
      </w:tr>
      <w:tr>
        <w:trPr>
          <w:cantSplit/>
        </w:trPr>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Run Python checks</w:t>
            </w:r>
          </w:p>
        </w:tc>
        <w:tc>
          <w:tcPr>
            <w:tcW w:type="dxa" w:w="5112"/>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python3 -m unittest discover -v</w:t>
            </w:r>
          </w:p>
        </w:tc>
      </w:tr>
    </w:tbl>
    <w:p>
      <w:pPr>
        <w:spacing w:after="60" w:line="60" w:lineRule="exact"/>
      </w:pPr>
    </w:p>
    <w:p>
      <w:r>
        <w:t>Browser authentication runs on the candidate laptop. Key-pair authentication is available through SNOWFLAKE_PRIVATE_KEY_PATH. Bootstrap needs the relevant create privileges. Publication requires ownership of both BUILD and MART. Configure matching reader grants on both schemas before team BI access, because schema swaps also exchange grants.</w:t>
      </w:r>
    </w:p>
    <w:p>
      <w:pPr>
        <w:pStyle w:val="Heading2"/>
      </w:pPr>
      <w:r>
        <w:t>Failure and recovery</w:t>
      </w:r>
    </w:p>
    <w:p>
      <w:r>
        <w:t>Input contract failures stop before changes. Ingestion failures roll back state and its audit entry; staged files may remain for diagnosis. A dbt failure leaves MART unchanged. If a connection drops around COMMIT, retry and use the audit table to determine completion. A previous publication can be restored by swapping the schemas back only while BUILD still contains that previous version.</w:t>
      </w:r>
    </w:p>
    <w:p>
      <w:pPr>
        <w:pStyle w:val="Heading2"/>
      </w:pPr>
      <w:r>
        <w:t>Scale and scheduling</w:t>
      </w:r>
    </w:p>
    <w:p>
      <w:r>
        <w:t>The planner reads this assessment population into Python memory. For large production feeds, move effective-payload and delta computation into Snowflake and introduce supplier sequence/version columns. Stage names and the manifest currently describe one assessment week. A scheduler must enforce one deployment at a time and capture nonzero exits for alerting. No scheduler or alert service is deployed.</w:t>
      </w:r>
    </w:p>
    <w:p>
      <w:pPr>
        <w:pStyle w:val="Heading2"/>
      </w:pPr>
      <w:r>
        <w:t>Compute and evidence</w:t>
      </w:r>
    </w:p>
    <w:p>
      <w:r>
        <w:t>The X-Small warehouse uses 60-second auto-suspend; this does not impose a spend cap. Live verification checks row counts, keys, audit batches, deletions, business results and quality counts, then records Snowflake query IDs. evidence/ contains the locally executed results and explicit verification boundaries.</w:t>
      </w:r>
    </w:p>
    <w:p>
      <w:r>
        <w:br w:type="page"/>
      </w:r>
    </w:p>
    <w:p>
      <w:pPr>
        <w:pStyle w:val="Heading1"/>
      </w:pPr>
      <w:r>
        <w:t>Supplier decisions and augmentation</w:t>
      </w:r>
    </w:p>
    <w:tbl>
      <w:tblPr>
        <w:tblW w:type="auto" w:w="0"/>
        <w:tblLayout w:type="autofit"/>
        <w:tblLook w:firstColumn="1" w:firstRow="1" w:lastColumn="0" w:lastRow="0" w:noHBand="0" w:noVBand="1" w:val="04A0"/>
      </w:tblPr>
      <w:tblGrid>
        <w:gridCol w:w="3408"/>
        <w:gridCol w:w="3408"/>
        <w:gridCol w:w="3408"/>
      </w:tblGrid>
      <w:tr>
        <w:trPr>
          <w:cantSplit/>
          <w:tblHeader/>
        </w:trPr>
        <w:tc>
          <w:tcPr>
            <w:tcW w:type="dxa" w:w="3408"/>
            <w:shd w:fill="173F50"/>
            <w:tcBorders>
              <w:top w:val="single" w:sz="4" w:color="D9D9D9"/>
              <w:left w:val="single" w:sz="4" w:color="D9D9D9"/>
              <w:bottom w:val="single" w:sz="4" w:color="D9D9D9"/>
              <w:right w:val="single" w:sz="4" w:color="D9D9D9"/>
            </w:tcBorders>
          </w:tcPr>
          <w:p>
            <w:pPr>
              <w:spacing w:after="100" w:before="100"/>
            </w:pPr>
            <w:r>
              <w:rPr>
                <w:b/>
                <w:color w:val="FFFFFF"/>
                <w:sz w:val="18"/>
              </w:rPr>
              <w:t>Decision</w:t>
            </w:r>
          </w:p>
        </w:tc>
        <w:tc>
          <w:tcPr>
            <w:tcW w:type="dxa" w:w="3408"/>
            <w:shd w:fill="173F50"/>
            <w:tcBorders>
              <w:top w:val="single" w:sz="4" w:color="D9D9D9"/>
              <w:left w:val="single" w:sz="4" w:color="D9D9D9"/>
              <w:bottom w:val="single" w:sz="4" w:color="D9D9D9"/>
              <w:right w:val="single" w:sz="4" w:color="D9D9D9"/>
            </w:tcBorders>
          </w:tcPr>
          <w:p>
            <w:pPr>
              <w:spacing w:after="100" w:before="100"/>
            </w:pPr>
            <w:r>
              <w:rPr>
                <w:b/>
                <w:color w:val="FFFFFF"/>
                <w:sz w:val="18"/>
              </w:rPr>
              <w:t>Current policy</w:t>
            </w:r>
          </w:p>
        </w:tc>
        <w:tc>
          <w:tcPr>
            <w:tcW w:type="dxa" w:w="3408"/>
            <w:shd w:fill="173F50"/>
            <w:tcBorders>
              <w:top w:val="single" w:sz="4" w:color="D9D9D9"/>
              <w:left w:val="single" w:sz="4" w:color="D9D9D9"/>
              <w:bottom w:val="single" w:sz="4" w:color="D9D9D9"/>
              <w:right w:val="single" w:sz="4" w:color="D9D9D9"/>
            </w:tcBorders>
          </w:tcPr>
          <w:p>
            <w:pPr>
              <w:spacing w:after="100" w:before="100"/>
            </w:pPr>
            <w:r>
              <w:rPr>
                <w:b/>
                <w:color w:val="FFFFFF"/>
                <w:sz w:val="18"/>
              </w:rPr>
              <w:t>Needed confirmation</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Daily omitted column</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Preserve previous value</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Supplier delta semantics</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Explicit blank cell</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Clear supplied value</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Null convention</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Full weekly snapshot</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Delete missing IDs with guard</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Same scope and cutoff</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Airport field</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Reported airport proxy</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Departure or incident location</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Currency and zero cost</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USD assumed; preserve values</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Currency, cost coverage, FX policy</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Exactly 1,000 feet</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Separate category</w:t>
            </w:r>
          </w:p>
        </w:tc>
        <w:tc>
          <w:tcPr>
            <w:tcW w:type="dxa" w:w="34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Boundary inclusivity</w:t>
            </w:r>
          </w:p>
        </w:tc>
      </w:tr>
      <w:tr>
        <w:trPr>
          <w:cantSplit/>
        </w:trPr>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Wildlife scope</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All supplied records</w:t>
            </w:r>
          </w:p>
        </w:tc>
        <w:tc>
          <w:tcPr>
            <w:tcW w:type="dxa" w:w="3408"/>
            <w:shd w:fill="F2F5F7"/>
            <w:tcBorders>
              <w:top w:val="single" w:sz="4" w:color="D9D9D9"/>
              <w:left w:val="single" w:sz="4" w:color="D9D9D9"/>
              <w:bottom w:val="single" w:sz="4" w:color="D9D9D9"/>
              <w:right w:val="single" w:sz="4" w:color="D9D9D9"/>
            </w:tcBorders>
          </w:tcPr>
          <w:p>
            <w:pPr>
              <w:spacing w:after="100" w:before="100"/>
            </w:pPr>
            <w:r>
              <w:rPr>
                <w:b w:val="0"/>
                <w:color w:val="000000"/>
                <w:sz w:val="18"/>
              </w:rPr>
              <w:t>Bird-only exclusions, if any</w:t>
            </w:r>
          </w:p>
        </w:tc>
      </w:tr>
    </w:tbl>
    <w:p>
      <w:pPr>
        <w:spacing w:after="60" w:line="60" w:lineRule="exact"/>
      </w:pPr>
    </w:p>
    <w:p>
      <w:r>
        <w:t>These business assumptions await confirmation. The implementation records them explicitly so the results can be revised without altering original files.</w:t>
      </w:r>
    </w:p>
    <w:p>
      <w:pPr>
        <w:pStyle w:val="Heading2"/>
      </w:pPr>
      <w:r>
        <w:t>Requested supplier improvements</w:t>
      </w:r>
    </w:p>
    <w:p>
      <w:r>
        <w:t>Provide stable IDs, modification timestamps, explicit change operations, versioned schemas, agreed blank semantics and a manifest with count/checksum/scope/cutoff. Airport codes, a wildlife taxonomy, precipitation arrays and cost metadata would reduce ambiguous parsing and enable reliable joins. Snapshot cutoff rules must prevent a stale full file overwriting newer changes.</w:t>
      </w:r>
    </w:p>
    <w:p>
      <w:pPr>
        <w:pStyle w:val="Heading2"/>
      </w:pPr>
      <w:r>
        <w:t>Third-party datasets</w:t>
      </w:r>
    </w:p>
    <w:p>
      <w:r>
        <w:t>First add FAA airport operations by matching a verified airport code and month or year. Keep operations as an airport-period exposure fact, rather than duplicating movement totals on each incident. Calculate strikes per 10,000 operations only when numerator and denominator scopes match.</w:t>
      </w:r>
    </w:p>
    <w:p>
      <w:r>
        <w:t>Next consider NOAA weather after verifying station coverage, airport proximity and event date/time quality. Authoritative airport coordinates and species classifications support mapping and a defensible bird-only subset. No external data or exchange rate has been invented or imported into the assessment.</w:t>
      </w:r>
    </w:p>
    <w:p>
      <w:r>
        <w:t>See docs/SOURCES.md for implementation references. docs/ASSUMPTIONS.md records decisions, and docs/OPERATIONS.md gives recovery and deployment boundaries.</w:t>
      </w:r>
    </w:p>
    <w:p>
      <w:r>
        <w:br w:type="page"/>
      </w:r>
    </w:p>
    <w:p>
      <w:pPr>
        <w:pStyle w:val="Heading1"/>
      </w:pPr>
      <w:r>
        <w:t>Snowflake technical answers</w:t>
      </w:r>
    </w:p>
    <w:p>
      <w:pPr>
        <w:pStyle w:val="Heading2"/>
      </w:pPr>
      <w:r>
        <w:t>What is Snowflake Openflow</w:t>
      </w:r>
    </w:p>
    <w:p>
      <w:r>
        <w:t>Openflow is a data integration service built on Apache NiFi, using connectors and processors to move and process data [1]. For this scenario it could retrieve supplier deliveries and route them to raw storage. Its value increases with multiple sources or complex connectivity. For five scheduled CSV files, staged loading may be simpler. It still needs credentials, network access, monitoring and explicit rules for order, retries and deletes. It does not automatically determine the business meaning of a weekly snapshot.</w:t>
      </w:r>
    </w:p>
    <w:p>
      <w:pPr>
        <w:pStyle w:val="Heading2"/>
      </w:pPr>
      <w:r>
        <w:t>What is the VARIANT data type</w:t>
      </w:r>
    </w:p>
    <w:p>
      <w:r>
        <w:t>VARIANT stores a value together with its type and supports nested OBJECT and ARRAY content [2]. A raw payload object could preserve changing supplier fields before typed transformations. For example, payload:"Airport: Name"::varchar extracts an airport value. It is useful for schema evolution and auditability. It does not validate business rules: casts, date parsing and null handling remain necessary. Prefer typed reporting columns for BI measures and joins, and distinguish SQL NULL from JSON null.</w:t>
      </w:r>
    </w:p>
    <w:p>
      <w:pPr>
        <w:pStyle w:val="Heading2"/>
      </w:pPr>
      <w:r>
        <w:t>What is Snowflake Horizon Catalog</w:t>
      </w:r>
    </w:p>
    <w:p>
      <w:r>
        <w:t>Horizon Catalog provides catalog and governance capabilities, including discovery, lineage, metadata and data protection [3]. In this project, it could help analysts find the reporting tables, understand the origin of a cost field and apply access policies. The benefit is governed discovery and traceability. It does not replace transformation tests, ownership or an agreed definition of an incident. Confirm the required feature availability, privileges and coverage in the target account before designing around it.</w:t>
      </w:r>
    </w:p>
    <w:p>
      <w:pPr>
        <w:pStyle w:val="Heading2"/>
      </w:pPr>
      <w:r>
        <w:t>What is UNLOAD in Snowflake</w:t>
      </w:r>
    </w:p>
    <w:p>
      <w:r>
        <w:t>Unloading exports data from Snowflake to files, normally with COPY INTO &lt;location&gt;, using a table or SELECT query and an internal or external stage [4]. Here it could export reporting data or a supplier quality-feedback file. Output may span several files; choosing a single file trades convenience against parallel output. Stage permissions, format, compression, encryption and handling of exported sensitive data require configuration. GET can download from an internal stage. UNLOAD does not mean deleting the underlying table.</w:t>
      </w:r>
    </w:p>
    <w:p>
      <w:pPr>
        <w:pStyle w:val="Heading2"/>
      </w:pPr>
      <w:r>
        <w:t>Example usage in the proposed architecture</w:t>
      </w:r>
    </w:p>
    <w:p>
      <w:r>
        <w:t>Openflow or another ingestion service obtains files. Snowflake stores the raw payloads and reconciled current state. dbt extracts typed fields, models the reporting layer and runs tests. Horizon supports catalog and governance. COPY INTO a stage exports an approved result when a downstream consumer needs files. Revision 2 implements Snowflake ingestion and dbt tables. Account execution is pending; the same dbt graph has been tested in DuckDB.</w:t>
      </w:r>
    </w:p>
    <w:p>
      <w:r>
        <w:br w:type="page"/>
      </w:r>
    </w:p>
    <w:p>
      <w:pPr>
        <w:pStyle w:val="Heading1"/>
      </w:pPr>
      <w:r>
        <w:t>dbt technical answers</w:t>
      </w:r>
    </w:p>
    <w:p>
      <w:pPr>
        <w:pStyle w:val="Heading2"/>
      </w:pPr>
      <w:r>
        <w:t>What is a dbt source</w:t>
      </w:r>
    </w:p>
    <w:p>
      <w:r>
        <w:t>A source is a YAML declaration of an existing relation, typically loaded by another process, referenced through source() [5]. It provides dependency lineage and a place to declare tests and freshness checks. Here strike_current would be an ingestion-owned source and dbt models would transform it. A source declaration does not load CSV files. Freshness must use ingestion metadata, not the historic FlightDate; configure and invoke freshness checks separately from ordinary model builds.</w:t>
      </w:r>
    </w:p>
    <w:p>
      <w:pPr>
        <w:pStyle w:val="Heading2"/>
      </w:pPr>
      <w:r>
        <w:t>What is a dbt snapshot and what are its drawbacks</w:t>
      </w:r>
    </w:p>
    <w:p>
      <w:r>
        <w:t>A snapshot records observed row versions using type-2 history, with validity intervals [6]. It could preserve revisions to the reconciled strike table. A timestamp strategy needs a reliable modification timestamp; otherwise use a check strategy on chosen business columns. Drawbacks include storage and compute growth, missed intermediate changes between runs, dependence on stable unique keys and explicit deletion handling. Historical states cannot be rebuilt from only the latest source. Snapshot the reconciled current state, not a daily delta whose missing rows are not deletions.</w:t>
      </w:r>
    </w:p>
    <w:p>
      <w:pPr>
        <w:pStyle w:val="Heading2"/>
      </w:pPr>
      <w:r>
        <w:t>Why does dbt not support identity columns for surrogate keys</w:t>
      </w:r>
    </w:p>
    <w:p>
      <w:r>
        <w:t>The question needs qualification: databases can generate identity or sequence values, and dbt can use database-specific logic, hooks or custom materializations. The problem is that normal model rebuilding does not naturally preserve stateful identity assignments. Rebuilds or changing row order can change identifiers and break joins. Deterministic hashes of stable business keys are usually easier to reproduce across environments. dbt documentation demonstrates sequence alternatives and their caveats [7]. Normalize inputs, handle nulls explicitly and test uniqueness. The local SQLite path hashes JSON attribute tuples. The dbt path hashes length-prefixed values with explicit null markers. Keys are backend-specific; production should prefer stable reference IDs where available.</w:t>
      </w:r>
    </w:p>
    <w:p>
      <w:pPr>
        <w:pStyle w:val="Heading2"/>
      </w:pPr>
      <w:r>
        <w:t>What is the difference between dbt run and dbt build</w:t>
      </w:r>
    </w:p>
    <w:p>
      <w:r>
        <w:t>dbt run executes selected models. dbt build also orchestrates selected tests, seeds and snapshots in dependency order [8]. A blocking upstream test failure can skip dependent resources; warning severity changes that behavior. For this project, run supports model iteration and build is the better production gate for tested reporting outputs. Build does not ingest supplier files or automatically replace a separate source-freshness job. Exact additional resource support is version-dependent, so pin the project and adapter versions.</w:t>
      </w:r>
    </w:p>
    <w:p>
      <w:r>
        <w:br w:type="page"/>
      </w:r>
    </w:p>
    <w:p>
      <w:pPr>
        <w:pStyle w:val="Heading1"/>
      </w:pPr>
      <w:r>
        <w:t>References</w:t>
      </w:r>
    </w:p>
    <w:p>
      <w:pPr>
        <w:pStyle w:val="Heading2"/>
      </w:pPr>
      <w:r>
        <w:t>1 Snowflake Openflow</w:t>
      </w:r>
    </w:p>
    <w:p>
      <w:r>
        <w:t>https://docs.snowflake.com/en/user-guide/data-integration/openflow/about</w:t>
      </w:r>
    </w:p>
    <w:p>
      <w:pPr>
        <w:pStyle w:val="Heading2"/>
      </w:pPr>
      <w:r>
        <w:t>2 Snowflake VARIANT</w:t>
      </w:r>
    </w:p>
    <w:p>
      <w:r>
        <w:t>https://docs.snowflake.com/en/sql-reference/data-types-semistructured</w:t>
      </w:r>
    </w:p>
    <w:p>
      <w:pPr>
        <w:pStyle w:val="Heading2"/>
      </w:pPr>
      <w:r>
        <w:t>3 Snowflake Horizon Catalog</w:t>
      </w:r>
    </w:p>
    <w:p>
      <w:r>
        <w:t>https://docs.snowflake.com/en/user-guide/snowflake-horizon</w:t>
      </w:r>
    </w:p>
    <w:p>
      <w:pPr>
        <w:pStyle w:val="Heading2"/>
      </w:pPr>
      <w:r>
        <w:t>4 Snowflake unloading</w:t>
      </w:r>
    </w:p>
    <w:p>
      <w:r>
        <w:t>https://docs.snowflake.com/en/user-guide/data-unload-overview</w:t>
      </w:r>
    </w:p>
    <w:p>
      <w:pPr>
        <w:pStyle w:val="Heading2"/>
      </w:pPr>
      <w:r>
        <w:t>5 dbt sources</w:t>
      </w:r>
    </w:p>
    <w:p>
      <w:r>
        <w:t>https://docs.getdbt.com/docs/build/sources</w:t>
      </w:r>
    </w:p>
    <w:p>
      <w:pPr>
        <w:pStyle w:val="Heading2"/>
      </w:pPr>
      <w:r>
        <w:t>6 dbt snapshots</w:t>
      </w:r>
    </w:p>
    <w:p>
      <w:r>
        <w:t>https://docs.getdbt.com/docs/build/snapshots</w:t>
      </w:r>
    </w:p>
    <w:p>
      <w:pPr>
        <w:pStyle w:val="Heading2"/>
      </w:pPr>
      <w:r>
        <w:t>7 dbt surrogate keys</w:t>
      </w:r>
    </w:p>
    <w:p>
      <w:r>
        <w:t>https://docs.getdbt.com/blog/managing-surrogate-keys</w:t>
      </w:r>
    </w:p>
    <w:p>
      <w:pPr>
        <w:pStyle w:val="Heading2"/>
      </w:pPr>
      <w:r>
        <w:t>8 dbt build</w:t>
      </w:r>
    </w:p>
    <w:p>
      <w:r>
        <w:t>https://docs.getdbt.com/reference/commands/build</w:t>
      </w:r>
    </w:p>
    <w:p>
      <w:r>
        <w:t>All assessment calculations derive from the five supplied CSV files. docs/SOURCES.md also lists the connector, transaction, schema publication and adapter references used for this revision.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Revision 2 · 26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SAROJ BHANDARI  |  BIRD STRIKES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