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0" w:sz="0" w:val="none"/>
          <w:left w:color="auto" w:space="0" w:sz="0" w:val="none"/>
          <w:bottom w:color="a2a9b1" w:space="0" w:sz="6" w:val="single"/>
          <w:right w:color="auto" w:space="0" w:sz="0" w:val="none"/>
        </w:pBdr>
        <w:spacing w:before="0" w:line="312" w:lineRule="auto"/>
        <w:contextualSpacing w:val="0"/>
        <w:rPr>
          <w:sz w:val="24"/>
          <w:szCs w:val="24"/>
          <w:highlight w:val="white"/>
        </w:rPr>
      </w:pPr>
      <w:bookmarkStart w:colFirst="0" w:colLast="0" w:name="_l3odnuc26hs3" w:id="0"/>
      <w:bookmarkEnd w:id="0"/>
      <w:r w:rsidDel="00000000" w:rsidR="00000000" w:rsidRPr="00000000">
        <w:rPr>
          <w:rFonts w:ascii="Georgia" w:cs="Georgia" w:eastAsia="Georgia" w:hAnsi="Georgia"/>
          <w:sz w:val="24"/>
          <w:szCs w:val="24"/>
          <w:highlight w:val="white"/>
          <w:rtl w:val="0"/>
        </w:rPr>
        <w:t xml:space="preserve">L'Initiative Mifos</w:t>
      </w:r>
      <w:r w:rsidDel="00000000" w:rsidR="00000000" w:rsidRPr="00000000">
        <w:rPr>
          <w:rtl w:val="0"/>
        </w:rPr>
      </w:r>
    </w:p>
    <w:tbl>
      <w:tblPr>
        <w:tblStyle w:val="Table1"/>
        <w:tblW w:w="4155.0" w:type="dxa"/>
        <w:jc w:val="left"/>
        <w:tblInd w:w="10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815"/>
        <w:gridCol w:w="2340"/>
        <w:tblGridChange w:id="0">
          <w:tblGrid>
            <w:gridCol w:w="1815"/>
            <w:gridCol w:w="2340"/>
          </w:tblGrid>
        </w:tblGridChange>
      </w:tblGrid>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b w:val="1"/>
                <w:sz w:val="18"/>
                <w:szCs w:val="18"/>
                <w:highlight w:val="white"/>
              </w:rPr>
            </w:pPr>
            <w:r w:rsidDel="00000000" w:rsidR="00000000" w:rsidRPr="00000000">
              <w:rPr>
                <w:b w:val="1"/>
                <w:sz w:val="18"/>
                <w:szCs w:val="18"/>
                <w:highlight w:val="white"/>
                <w:rtl w:val="0"/>
              </w:rPr>
              <w:t xml:space="preserve">Création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sz w:val="18"/>
                <w:szCs w:val="18"/>
                <w:highlight w:val="white"/>
                <w:rtl w:val="0"/>
              </w:rPr>
              <w:t xml:space="preserve">Octobre 2011</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b w:val="1"/>
                <w:sz w:val="18"/>
                <w:szCs w:val="18"/>
                <w:highlight w:val="white"/>
              </w:rPr>
            </w:pPr>
            <w:r w:rsidDel="00000000" w:rsidR="00000000" w:rsidRPr="00000000">
              <w:rPr>
                <w:b w:val="1"/>
                <w:sz w:val="18"/>
                <w:szCs w:val="18"/>
                <w:highlight w:val="white"/>
                <w:rtl w:val="0"/>
              </w:rPr>
              <w:t xml:space="preserve">Type d'organisation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sz w:val="18"/>
                <w:szCs w:val="18"/>
                <w:highlight w:val="white"/>
                <w:rtl w:val="0"/>
              </w:rPr>
              <w:t xml:space="preserve">501(c)(3)</w:t>
            </w: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30"/>
                <w:szCs w:val="30"/>
                <w:highlight w:val="white"/>
              </w:rPr>
            </w:pPr>
            <w:r w:rsidDel="00000000" w:rsidR="00000000" w:rsidRPr="00000000">
              <w:rPr>
                <w:b w:val="1"/>
                <w:sz w:val="18"/>
                <w:szCs w:val="18"/>
                <w:highlight w:val="white"/>
                <w:rtl w:val="0"/>
              </w:rPr>
              <w:t xml:space="preserve">O</w:t>
            </w:r>
            <w:r w:rsidDel="00000000" w:rsidR="00000000" w:rsidRPr="00000000">
              <w:rPr>
                <w:b w:val="1"/>
                <w:sz w:val="18"/>
                <w:szCs w:val="18"/>
                <w:highlight w:val="white"/>
                <w:rtl w:val="0"/>
              </w:rPr>
              <w:t xml:space="preserve">bjectif</w:t>
            </w:r>
            <w:r w:rsidDel="00000000" w:rsidR="00000000" w:rsidRPr="00000000">
              <w:rPr>
                <w:rtl w:val="0"/>
              </w:rPr>
            </w:r>
          </w:p>
          <w:p w:rsidR="00000000" w:rsidDel="00000000" w:rsidP="00000000" w:rsidRDefault="00000000" w:rsidRPr="00000000">
            <w:pPr>
              <w:spacing w:after="100" w:before="100" w:line="360" w:lineRule="auto"/>
              <w:ind w:left="180" w:firstLine="0"/>
              <w:contextualSpacing w:val="0"/>
              <w:rPr>
                <w:b w:val="1"/>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sz w:val="18"/>
                <w:szCs w:val="18"/>
                <w:highlight w:val="white"/>
                <w:rtl w:val="0"/>
              </w:rPr>
              <w:t xml:space="preserve">Microfinance</w:t>
            </w:r>
          </w:p>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sz w:val="18"/>
                <w:szCs w:val="18"/>
                <w:highlight w:val="white"/>
                <w:rtl w:val="0"/>
              </w:rPr>
              <w:t xml:space="preserve">L'inclusion financière</w:t>
            </w: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b w:val="1"/>
                <w:sz w:val="18"/>
                <w:szCs w:val="18"/>
                <w:highlight w:val="white"/>
                <w:rtl w:val="0"/>
              </w:rPr>
              <w:t xml:space="preserve">Siège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Rule="auto"/>
              <w:contextualSpacing w:val="0"/>
              <w:rPr>
                <w:sz w:val="18"/>
                <w:szCs w:val="18"/>
                <w:highlight w:val="white"/>
              </w:rPr>
            </w:pPr>
            <w:r w:rsidDel="00000000" w:rsidR="00000000" w:rsidRPr="00000000">
              <w:rPr>
                <w:sz w:val="18"/>
                <w:szCs w:val="18"/>
                <w:highlight w:val="white"/>
                <w:rtl w:val="0"/>
              </w:rPr>
              <w:t xml:space="preserve">Mountain View, California</w:t>
            </w:r>
            <w:r w:rsidDel="00000000" w:rsidR="00000000" w:rsidRPr="00000000">
              <w:rPr>
                <w:sz w:val="18"/>
                <w:szCs w:val="18"/>
                <w:highlight w:val="white"/>
                <w:rtl w:val="0"/>
              </w:rPr>
              <w:t xml:space="preserve">, United States</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b w:val="1"/>
                <w:sz w:val="18"/>
                <w:szCs w:val="18"/>
                <w:highlight w:val="white"/>
                <w:rtl w:val="0"/>
              </w:rPr>
              <w:t xml:space="preserve">Origines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sz w:val="18"/>
                <w:szCs w:val="18"/>
                <w:highlight w:val="white"/>
                <w:rtl w:val="0"/>
              </w:rPr>
              <w:t xml:space="preserve">Fondation Grameen</w:t>
            </w:r>
          </w:p>
        </w:tc>
      </w:tr>
      <w:tr>
        <w:trPr>
          <w:trHeight w:val="15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b w:val="1"/>
                <w:sz w:val="18"/>
                <w:szCs w:val="18"/>
                <w:highlight w:val="white"/>
                <w:rtl w:val="0"/>
              </w:rPr>
              <w:t xml:space="preserve">Produits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sz w:val="18"/>
                <w:szCs w:val="18"/>
                <w:highlight w:val="white"/>
                <w:rtl w:val="0"/>
              </w:rPr>
              <w:t xml:space="preserve">Mifos 2.x Legacy MIS</w:t>
            </w:r>
          </w:p>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sz w:val="18"/>
                <w:szCs w:val="18"/>
                <w:highlight w:val="white"/>
                <w:rtl w:val="0"/>
              </w:rPr>
              <w:t xml:space="preserve">Mifos X</w:t>
            </w:r>
          </w:p>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sz w:val="18"/>
                <w:szCs w:val="18"/>
                <w:highlight w:val="white"/>
                <w:rtl w:val="0"/>
              </w:rPr>
              <w:t xml:space="preserve">Mifos X Mobile Client</w:t>
            </w:r>
          </w:p>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sz w:val="18"/>
                <w:szCs w:val="18"/>
                <w:highlight w:val="white"/>
                <w:rtl w:val="0"/>
              </w:rPr>
              <w:t xml:space="preserve">Application Communautaire, Web UI for Mifos X Platform</w:t>
            </w: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288" w:lineRule="auto"/>
              <w:ind w:left="180" w:firstLine="0"/>
              <w:contextualSpacing w:val="0"/>
              <w:rPr>
                <w:b w:val="1"/>
                <w:sz w:val="18"/>
                <w:szCs w:val="18"/>
                <w:highlight w:val="white"/>
              </w:rPr>
            </w:pPr>
            <w:r w:rsidDel="00000000" w:rsidR="00000000" w:rsidRPr="00000000">
              <w:rPr>
                <w:b w:val="1"/>
                <w:sz w:val="18"/>
                <w:szCs w:val="18"/>
                <w:highlight w:val="white"/>
                <w:rtl w:val="0"/>
              </w:rPr>
              <w:t xml:space="preserve">Personnes Clés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sz w:val="18"/>
                <w:szCs w:val="18"/>
                <w:highlight w:val="white"/>
                <w:rtl w:val="0"/>
              </w:rPr>
              <w:t xml:space="preserve">Ed Cable</w:t>
            </w:r>
          </w:p>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sz w:val="16"/>
                <w:szCs w:val="16"/>
                <w:highlight w:val="white"/>
                <w:rtl w:val="0"/>
              </w:rPr>
              <w:t xml:space="preserve">(L</w:t>
            </w:r>
            <w:r w:rsidDel="00000000" w:rsidR="00000000" w:rsidRPr="00000000">
              <w:rPr>
                <w:sz w:val="16"/>
                <w:szCs w:val="16"/>
                <w:highlight w:val="white"/>
                <w:rtl w:val="0"/>
              </w:rPr>
              <w:t xml:space="preserve">eader Communautaire)</w:t>
            </w: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b w:val="1"/>
                <w:sz w:val="18"/>
                <w:szCs w:val="18"/>
                <w:highlight w:val="white"/>
                <w:rtl w:val="0"/>
              </w:rPr>
              <w:t xml:space="preserve">Slogan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i w:val="1"/>
                <w:sz w:val="18"/>
                <w:szCs w:val="18"/>
                <w:highlight w:val="white"/>
                <w:rtl w:val="0"/>
              </w:rPr>
              <w:t xml:space="preserve">Technologie Open Source pour l'accélération de la microfinance</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b w:val="1"/>
                <w:sz w:val="18"/>
                <w:szCs w:val="18"/>
                <w:highlight w:val="white"/>
                <w:rtl w:val="0"/>
              </w:rPr>
              <w:t xml:space="preserve">Site web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360" w:lineRule="auto"/>
              <w:ind w:left="180" w:firstLine="0"/>
              <w:contextualSpacing w:val="0"/>
              <w:rPr>
                <w:sz w:val="18"/>
                <w:szCs w:val="18"/>
                <w:highlight w:val="white"/>
              </w:rPr>
            </w:pPr>
            <w:r w:rsidDel="00000000" w:rsidR="00000000" w:rsidRPr="00000000">
              <w:rPr>
                <w:sz w:val="18"/>
                <w:szCs w:val="18"/>
                <w:highlight w:val="white"/>
                <w:rtl w:val="0"/>
              </w:rPr>
              <w:t xml:space="preserve">mifos.org</w:t>
            </w:r>
            <w:r w:rsidDel="00000000" w:rsidR="00000000" w:rsidRPr="00000000">
              <w:rPr>
                <w:rtl w:val="0"/>
              </w:rPr>
            </w:r>
          </w:p>
        </w:tc>
      </w:tr>
    </w:tbl>
    <w:p w:rsidR="00000000" w:rsidDel="00000000" w:rsidP="00000000" w:rsidRDefault="00000000" w:rsidRPr="00000000">
      <w:pPr>
        <w:shd w:fill="ffffff" w:val="clear"/>
        <w:spacing w:after="100" w:before="100" w:line="384.00000000000006" w:lineRule="auto"/>
        <w:contextualSpacing w:val="0"/>
        <w:rPr>
          <w:sz w:val="19"/>
          <w:szCs w:val="19"/>
          <w:highlight w:val="white"/>
        </w:rPr>
      </w:pPr>
      <w:r w:rsidDel="00000000" w:rsidR="00000000" w:rsidRPr="00000000">
        <w:rPr>
          <w:sz w:val="19"/>
          <w:szCs w:val="19"/>
          <w:highlight w:val="white"/>
          <w:rtl w:val="0"/>
        </w:rPr>
        <w:t xml:space="preserve">L'Initiative Mifos est les États-Unis a basé à but non lucratif qui existe pour supporter et collectivement pour mener le code source libre </w:t>
      </w:r>
      <w:r w:rsidDel="00000000" w:rsidR="00000000" w:rsidRPr="00000000">
        <w:rPr>
          <w:sz w:val="18"/>
          <w:szCs w:val="18"/>
          <w:highlight w:val="white"/>
          <w:rtl w:val="0"/>
        </w:rPr>
        <w:t xml:space="preserve">Mifos X</w:t>
      </w:r>
      <w:r w:rsidDel="00000000" w:rsidR="00000000" w:rsidRPr="00000000">
        <w:rPr>
          <w:sz w:val="19"/>
          <w:szCs w:val="19"/>
          <w:highlight w:val="white"/>
          <w:rtl w:val="0"/>
        </w:rPr>
        <w:t xml:space="preserve"> le projet. Fondé en octobre 2011, l'organisation englobe une communauté de prestataires de services financiers, des spécialistes technologiques, des experts de services financiers et des promoteurs open source marchant ensemble pour cultiver le Mifos X la plate-forme open source pour des services financiers. Son but est d’accélérer l’élimination de la pauvreté en permettant aux fournisseurs de services financiers de plus efficace et efficiente livrer responsable de services financiers à 2,5 milliards du monde pauvres et non-bancarisés. </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320" w:line="312" w:lineRule="auto"/>
        <w:contextualSpacing w:val="0"/>
        <w:jc w:val="center"/>
        <w:rPr>
          <w:sz w:val="19"/>
          <w:szCs w:val="19"/>
          <w:highlight w:val="white"/>
        </w:rPr>
      </w:pPr>
      <w:bookmarkStart w:colFirst="0" w:colLast="0" w:name="_345g6nezs7mx" w:id="1"/>
      <w:bookmarkEnd w:id="1"/>
      <w:r w:rsidDel="00000000" w:rsidR="00000000" w:rsidRPr="00000000">
        <w:rPr>
          <w:b w:val="1"/>
          <w:sz w:val="20"/>
          <w:szCs w:val="20"/>
          <w:highlight w:val="white"/>
          <w:rtl w:val="0"/>
        </w:rPr>
        <w:t xml:space="preserve">Contenu</w:t>
      </w:r>
      <w:r w:rsidDel="00000000" w:rsidR="00000000" w:rsidRPr="00000000">
        <w:rPr>
          <w:rtl w:val="0"/>
        </w:rPr>
      </w:r>
    </w:p>
    <w:p w:rsidR="00000000" w:rsidDel="00000000" w:rsidP="00000000" w:rsidRDefault="00000000" w:rsidRPr="00000000">
      <w:pPr>
        <w:numPr>
          <w:ilvl w:val="0"/>
          <w:numId w:val="7"/>
        </w:numPr>
        <w:spacing w:after="80" w:before="60" w:lineRule="auto"/>
        <w:ind w:left="720" w:hanging="360"/>
        <w:contextualSpacing w:val="1"/>
        <w:rPr>
          <w:color w:val="000000"/>
          <w:highlight w:val="white"/>
        </w:rPr>
      </w:pPr>
      <w:r w:rsidDel="00000000" w:rsidR="00000000" w:rsidRPr="00000000">
        <w:rPr>
          <w:sz w:val="20"/>
          <w:szCs w:val="20"/>
          <w:highlight w:val="white"/>
          <w:rtl w:val="0"/>
        </w:rPr>
        <w:t xml:space="preserve">1 Histoire</w:t>
      </w:r>
    </w:p>
    <w:p w:rsidR="00000000" w:rsidDel="00000000" w:rsidP="00000000" w:rsidRDefault="00000000" w:rsidRPr="00000000">
      <w:pPr>
        <w:numPr>
          <w:ilvl w:val="1"/>
          <w:numId w:val="7"/>
        </w:numPr>
        <w:spacing w:after="100" w:before="60" w:lineRule="auto"/>
        <w:ind w:left="1840" w:hanging="360"/>
        <w:contextualSpacing w:val="1"/>
        <w:rPr>
          <w:color w:val="000000"/>
          <w:highlight w:val="white"/>
        </w:rPr>
      </w:pPr>
      <w:r w:rsidDel="00000000" w:rsidR="00000000" w:rsidRPr="00000000">
        <w:rPr>
          <w:sz w:val="20"/>
          <w:szCs w:val="20"/>
          <w:highlight w:val="white"/>
          <w:rtl w:val="0"/>
        </w:rPr>
        <w:t xml:space="preserve">1.1 Initié par la Fondation Grameen</w:t>
      </w:r>
    </w:p>
    <w:p w:rsidR="00000000" w:rsidDel="00000000" w:rsidP="00000000" w:rsidRDefault="00000000" w:rsidRPr="00000000">
      <w:pPr>
        <w:numPr>
          <w:ilvl w:val="1"/>
          <w:numId w:val="7"/>
        </w:numPr>
        <w:spacing w:after="100" w:before="60" w:lineRule="auto"/>
        <w:ind w:left="1840" w:hanging="360"/>
        <w:contextualSpacing w:val="1"/>
        <w:rPr>
          <w:color w:val="000000"/>
          <w:highlight w:val="white"/>
        </w:rPr>
      </w:pPr>
      <w:r w:rsidDel="00000000" w:rsidR="00000000" w:rsidRPr="00000000">
        <w:rPr>
          <w:sz w:val="20"/>
          <w:szCs w:val="20"/>
          <w:highlight w:val="white"/>
          <w:rtl w:val="0"/>
        </w:rPr>
        <w:t xml:space="preserve">1.2 Transitionné Dans sa Propre Communauté</w:t>
      </w:r>
    </w:p>
    <w:p w:rsidR="00000000" w:rsidDel="00000000" w:rsidP="00000000" w:rsidRDefault="00000000" w:rsidRPr="00000000">
      <w:pPr>
        <w:numPr>
          <w:ilvl w:val="0"/>
          <w:numId w:val="7"/>
        </w:numPr>
        <w:spacing w:after="80" w:before="60" w:lineRule="auto"/>
        <w:ind w:left="720" w:hanging="360"/>
        <w:contextualSpacing w:val="1"/>
        <w:rPr>
          <w:color w:val="000000"/>
          <w:highlight w:val="white"/>
        </w:rPr>
      </w:pPr>
      <w:r w:rsidDel="00000000" w:rsidR="00000000" w:rsidRPr="00000000">
        <w:rPr>
          <w:sz w:val="20"/>
          <w:szCs w:val="20"/>
          <w:highlight w:val="white"/>
          <w:rtl w:val="0"/>
        </w:rPr>
        <w:t xml:space="preserve">2 Communauté</w:t>
      </w:r>
    </w:p>
    <w:p w:rsidR="00000000" w:rsidDel="00000000" w:rsidP="00000000" w:rsidRDefault="00000000" w:rsidRPr="00000000">
      <w:pPr>
        <w:numPr>
          <w:ilvl w:val="1"/>
          <w:numId w:val="7"/>
        </w:numPr>
        <w:spacing w:after="100" w:before="60" w:lineRule="auto"/>
        <w:ind w:left="1840" w:hanging="360"/>
        <w:contextualSpacing w:val="1"/>
        <w:rPr>
          <w:color w:val="000000"/>
          <w:highlight w:val="white"/>
        </w:rPr>
      </w:pPr>
      <w:r w:rsidDel="00000000" w:rsidR="00000000" w:rsidRPr="00000000">
        <w:rPr>
          <w:sz w:val="20"/>
          <w:szCs w:val="20"/>
          <w:highlight w:val="white"/>
          <w:rtl w:val="0"/>
        </w:rPr>
        <w:t xml:space="preserve">2.1 Participation</w:t>
      </w:r>
    </w:p>
    <w:p w:rsidR="00000000" w:rsidDel="00000000" w:rsidP="00000000" w:rsidRDefault="00000000" w:rsidRPr="00000000">
      <w:pPr>
        <w:numPr>
          <w:ilvl w:val="0"/>
          <w:numId w:val="7"/>
        </w:numPr>
        <w:spacing w:after="80" w:before="60" w:lineRule="auto"/>
        <w:ind w:left="720" w:hanging="360"/>
        <w:contextualSpacing w:val="1"/>
        <w:rPr>
          <w:color w:val="000000"/>
          <w:highlight w:val="white"/>
        </w:rPr>
      </w:pPr>
      <w:r w:rsidDel="00000000" w:rsidR="00000000" w:rsidRPr="00000000">
        <w:rPr>
          <w:sz w:val="20"/>
          <w:szCs w:val="20"/>
          <w:highlight w:val="white"/>
          <w:rtl w:val="0"/>
        </w:rPr>
        <w:t xml:space="preserve">3 Peuple</w:t>
      </w:r>
    </w:p>
    <w:p w:rsidR="00000000" w:rsidDel="00000000" w:rsidP="00000000" w:rsidRDefault="00000000" w:rsidRPr="00000000">
      <w:pPr>
        <w:numPr>
          <w:ilvl w:val="1"/>
          <w:numId w:val="7"/>
        </w:numPr>
        <w:spacing w:after="100" w:before="60" w:lineRule="auto"/>
        <w:ind w:left="1840" w:hanging="360"/>
        <w:contextualSpacing w:val="1"/>
        <w:rPr>
          <w:color w:val="000000"/>
          <w:highlight w:val="white"/>
        </w:rPr>
      </w:pPr>
      <w:r w:rsidDel="00000000" w:rsidR="00000000" w:rsidRPr="00000000">
        <w:rPr>
          <w:sz w:val="20"/>
          <w:szCs w:val="20"/>
          <w:highlight w:val="white"/>
          <w:rtl w:val="0"/>
        </w:rPr>
        <w:t xml:space="preserve">3.1 Le Conseil D'administration de L'Initiative Mifos</w:t>
      </w:r>
    </w:p>
    <w:p w:rsidR="00000000" w:rsidDel="00000000" w:rsidP="00000000" w:rsidRDefault="00000000" w:rsidRPr="00000000">
      <w:pPr>
        <w:numPr>
          <w:ilvl w:val="1"/>
          <w:numId w:val="7"/>
        </w:numPr>
        <w:spacing w:after="100" w:before="60" w:lineRule="auto"/>
        <w:ind w:left="1840" w:hanging="360"/>
        <w:contextualSpacing w:val="1"/>
        <w:rPr>
          <w:color w:val="000000"/>
          <w:highlight w:val="white"/>
        </w:rPr>
      </w:pPr>
      <w:r w:rsidDel="00000000" w:rsidR="00000000" w:rsidRPr="00000000">
        <w:rPr>
          <w:sz w:val="20"/>
          <w:szCs w:val="20"/>
          <w:highlight w:val="white"/>
          <w:rtl w:val="0"/>
        </w:rPr>
        <w:t xml:space="preserve">3.2 Équipe de direction</w:t>
      </w:r>
    </w:p>
    <w:p w:rsidR="00000000" w:rsidDel="00000000" w:rsidP="00000000" w:rsidRDefault="00000000" w:rsidRPr="00000000">
      <w:pPr>
        <w:numPr>
          <w:ilvl w:val="1"/>
          <w:numId w:val="7"/>
        </w:numPr>
        <w:spacing w:after="100" w:before="60" w:lineRule="auto"/>
        <w:ind w:left="1840" w:hanging="360"/>
        <w:contextualSpacing w:val="1"/>
        <w:rPr>
          <w:color w:val="000000"/>
          <w:highlight w:val="white"/>
        </w:rPr>
      </w:pPr>
      <w:r w:rsidDel="00000000" w:rsidR="00000000" w:rsidRPr="00000000">
        <w:rPr>
          <w:sz w:val="20"/>
          <w:szCs w:val="20"/>
          <w:highlight w:val="white"/>
          <w:rtl w:val="0"/>
        </w:rPr>
        <w:t xml:space="preserve">3.3 Conseillers</w:t>
      </w:r>
    </w:p>
    <w:p w:rsidR="00000000" w:rsidDel="00000000" w:rsidP="00000000" w:rsidRDefault="00000000" w:rsidRPr="00000000">
      <w:pPr>
        <w:numPr>
          <w:ilvl w:val="0"/>
          <w:numId w:val="7"/>
        </w:numPr>
        <w:spacing w:after="80" w:before="60" w:lineRule="auto"/>
        <w:ind w:left="720" w:hanging="360"/>
        <w:contextualSpacing w:val="1"/>
        <w:rPr>
          <w:color w:val="000000"/>
          <w:highlight w:val="white"/>
        </w:rPr>
      </w:pPr>
      <w:r w:rsidDel="00000000" w:rsidR="00000000" w:rsidRPr="00000000">
        <w:rPr>
          <w:sz w:val="20"/>
          <w:szCs w:val="20"/>
          <w:highlight w:val="white"/>
          <w:rtl w:val="0"/>
        </w:rPr>
        <w:t xml:space="preserve">4 Clients (Institutions Financières)</w:t>
      </w:r>
    </w:p>
    <w:p w:rsidR="00000000" w:rsidDel="00000000" w:rsidP="00000000" w:rsidRDefault="00000000" w:rsidRPr="00000000">
      <w:pPr>
        <w:numPr>
          <w:ilvl w:val="0"/>
          <w:numId w:val="7"/>
        </w:numPr>
        <w:spacing w:after="80" w:before="60" w:lineRule="auto"/>
        <w:ind w:left="720" w:hanging="360"/>
        <w:contextualSpacing w:val="1"/>
        <w:rPr>
          <w:color w:val="000000"/>
          <w:highlight w:val="white"/>
        </w:rPr>
      </w:pPr>
      <w:r w:rsidDel="00000000" w:rsidR="00000000" w:rsidRPr="00000000">
        <w:rPr>
          <w:sz w:val="20"/>
          <w:szCs w:val="20"/>
          <w:highlight w:val="white"/>
          <w:rtl w:val="0"/>
        </w:rPr>
        <w:t xml:space="preserve">5 Qualifications et Prix</w:t>
      </w:r>
    </w:p>
    <w:p w:rsidR="00000000" w:rsidDel="00000000" w:rsidP="00000000" w:rsidRDefault="00000000" w:rsidRPr="00000000">
      <w:pPr>
        <w:numPr>
          <w:ilvl w:val="0"/>
          <w:numId w:val="7"/>
        </w:numPr>
        <w:spacing w:after="80" w:before="60" w:lineRule="auto"/>
        <w:ind w:left="720" w:hanging="360"/>
        <w:contextualSpacing w:val="1"/>
        <w:rPr>
          <w:color w:val="000000"/>
          <w:highlight w:val="white"/>
        </w:rPr>
      </w:pPr>
      <w:r w:rsidDel="00000000" w:rsidR="00000000" w:rsidRPr="00000000">
        <w:rPr>
          <w:sz w:val="20"/>
          <w:szCs w:val="20"/>
          <w:highlight w:val="white"/>
          <w:rtl w:val="0"/>
        </w:rPr>
        <w:t xml:space="preserve">6 Partenariats</w:t>
      </w:r>
    </w:p>
    <w:p w:rsidR="00000000" w:rsidDel="00000000" w:rsidP="00000000" w:rsidRDefault="00000000" w:rsidRPr="00000000">
      <w:pPr>
        <w:numPr>
          <w:ilvl w:val="0"/>
          <w:numId w:val="7"/>
        </w:numPr>
        <w:spacing w:after="80" w:before="60" w:lineRule="auto"/>
        <w:ind w:left="720" w:hanging="360"/>
        <w:contextualSpacing w:val="1"/>
        <w:rPr>
          <w:color w:val="000000"/>
          <w:highlight w:val="white"/>
        </w:rPr>
      </w:pPr>
      <w:r w:rsidDel="00000000" w:rsidR="00000000" w:rsidRPr="00000000">
        <w:rPr>
          <w:sz w:val="20"/>
          <w:szCs w:val="20"/>
          <w:highlight w:val="white"/>
          <w:rtl w:val="0"/>
        </w:rPr>
        <w:t xml:space="preserve">7 </w:t>
      </w:r>
      <w:r w:rsidDel="00000000" w:rsidR="00000000" w:rsidRPr="00000000">
        <w:rPr>
          <w:sz w:val="20"/>
          <w:szCs w:val="20"/>
          <w:highlight w:val="white"/>
          <w:rtl w:val="0"/>
        </w:rPr>
        <w:t xml:space="preserve">Références </w:t>
      </w:r>
      <w:r w:rsidDel="00000000" w:rsidR="00000000" w:rsidRPr="00000000">
        <w:rPr>
          <w:rtl w:val="0"/>
        </w:rPr>
      </w:r>
    </w:p>
    <w:p w:rsidR="00000000" w:rsidDel="00000000" w:rsidP="00000000" w:rsidRDefault="00000000" w:rsidRPr="00000000">
      <w:pPr>
        <w:numPr>
          <w:ilvl w:val="0"/>
          <w:numId w:val="7"/>
        </w:numPr>
        <w:spacing w:after="80" w:before="60" w:lineRule="auto"/>
        <w:ind w:left="720" w:hanging="360"/>
        <w:contextualSpacing w:val="1"/>
        <w:rPr>
          <w:color w:val="000000"/>
          <w:highlight w:val="white"/>
        </w:rPr>
      </w:pPr>
      <w:r w:rsidDel="00000000" w:rsidR="00000000" w:rsidRPr="00000000">
        <w:rPr>
          <w:sz w:val="20"/>
          <w:szCs w:val="20"/>
          <w:highlight w:val="white"/>
          <w:rtl w:val="0"/>
        </w:rPr>
        <w:t xml:space="preserve">8 Liens externes</w:t>
      </w:r>
    </w:p>
    <w:p w:rsidR="00000000" w:rsidDel="00000000" w:rsidP="00000000" w:rsidRDefault="00000000" w:rsidRPr="00000000">
      <w:pPr>
        <w:numPr>
          <w:ilvl w:val="0"/>
          <w:numId w:val="7"/>
        </w:numPr>
        <w:spacing w:after="80" w:before="60" w:lineRule="auto"/>
        <w:ind w:left="720" w:hanging="360"/>
        <w:contextualSpacing w:val="1"/>
        <w:rPr>
          <w:color w:val="000000"/>
          <w:highlight w:val="white"/>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contextualSpacing w:val="0"/>
        <w:rPr>
          <w:sz w:val="24"/>
          <w:szCs w:val="24"/>
          <w:highlight w:val="white"/>
        </w:rPr>
      </w:pPr>
      <w:bookmarkStart w:colFirst="0" w:colLast="0" w:name="_cdil7sh9arsv" w:id="2"/>
      <w:bookmarkEnd w:id="2"/>
      <w:r w:rsidDel="00000000" w:rsidR="00000000" w:rsidRPr="00000000">
        <w:rPr>
          <w:rFonts w:ascii="Georgia" w:cs="Georgia" w:eastAsia="Georgia" w:hAnsi="Georgia"/>
          <w:sz w:val="24"/>
          <w:szCs w:val="24"/>
          <w:highlight w:val="white"/>
          <w:rtl w:val="0"/>
        </w:rPr>
        <w:t xml:space="preserve">Histoire</w:t>
      </w:r>
      <w:r w:rsidDel="00000000" w:rsidR="00000000" w:rsidRPr="00000000">
        <w:rPr>
          <w:rtl w:val="0"/>
        </w:rPr>
      </w:r>
    </w:p>
    <w:p w:rsidR="00000000" w:rsidDel="00000000" w:rsidP="00000000" w:rsidRDefault="00000000" w:rsidRPr="00000000">
      <w:pPr>
        <w:pStyle w:val="Heading3"/>
        <w:keepNext w:val="0"/>
        <w:keepLines w:val="0"/>
        <w:pBdr>
          <w:top w:color="auto" w:space="6" w:sz="0" w:val="none"/>
          <w:bottom w:color="auto" w:space="0" w:sz="0" w:val="none"/>
        </w:pBdr>
        <w:spacing w:after="0" w:before="80" w:line="384.00000000000006" w:lineRule="auto"/>
        <w:contextualSpacing w:val="0"/>
        <w:rPr>
          <w:color w:val="000000"/>
          <w:sz w:val="22"/>
          <w:szCs w:val="22"/>
          <w:highlight w:val="white"/>
        </w:rPr>
      </w:pPr>
      <w:bookmarkStart w:colFirst="0" w:colLast="0" w:name="_rr1aqm492wdi" w:id="3"/>
      <w:bookmarkEnd w:id="3"/>
      <w:r w:rsidDel="00000000" w:rsidR="00000000" w:rsidRPr="00000000">
        <w:rPr>
          <w:b w:val="1"/>
          <w:color w:val="000000"/>
          <w:sz w:val="22"/>
          <w:szCs w:val="22"/>
          <w:highlight w:val="white"/>
          <w:rtl w:val="0"/>
        </w:rPr>
        <w:t xml:space="preserve">Initié par la Fondation Grameen</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sz w:val="21"/>
          <w:szCs w:val="21"/>
          <w:highlight w:val="white"/>
        </w:rPr>
      </w:pPr>
      <w:r w:rsidDel="00000000" w:rsidR="00000000" w:rsidRPr="00000000">
        <w:rPr>
          <w:sz w:val="21"/>
          <w:szCs w:val="21"/>
          <w:highlight w:val="white"/>
          <w:rtl w:val="0"/>
        </w:rPr>
        <w:t xml:space="preserve">Le développement du logiciel a commencé comme une initiative de la Fondation Grameen en 2004. À la Fondation Grameen, James Dailey et Tapan Parikh se sont rendus compte que le logiciel utilisé par la plupart des institutions de microfinance (IMF) était obsolète, cher ou autrement en deçà. James et Tapan ont pensé à quelque chose de nouveau: un logiciel open-source qui a été lancé en tant que Mifos en 2006. Le nom "Mifos" vient à l'origine d'un acronyme "MIcrofinance Open Source", mais est maintenant utilisé comme marque. Mifos a existé dans la Fondation Grameen jusqu'en 2011, quand il a été décidé que Mifos se séparerait pour devenir une entité indépendante et ouverte.</w:t>
      </w:r>
    </w:p>
    <w:p w:rsidR="00000000" w:rsidDel="00000000" w:rsidP="00000000" w:rsidRDefault="00000000" w:rsidRPr="00000000">
      <w:pPr>
        <w:pStyle w:val="Heading3"/>
        <w:keepNext w:val="0"/>
        <w:keepLines w:val="0"/>
        <w:pBdr>
          <w:top w:color="auto" w:space="6" w:sz="0" w:val="none"/>
          <w:bottom w:color="auto" w:space="0" w:sz="0" w:val="none"/>
        </w:pBdr>
        <w:spacing w:after="0" w:before="80" w:line="384.00000000000006" w:lineRule="auto"/>
        <w:contextualSpacing w:val="0"/>
        <w:rPr>
          <w:color w:val="000000"/>
          <w:sz w:val="22"/>
          <w:szCs w:val="22"/>
          <w:highlight w:val="white"/>
        </w:rPr>
      </w:pPr>
      <w:bookmarkStart w:colFirst="0" w:colLast="0" w:name="_2vpqt54e7aae" w:id="4"/>
      <w:bookmarkEnd w:id="4"/>
      <w:r w:rsidDel="00000000" w:rsidR="00000000" w:rsidRPr="00000000">
        <w:rPr>
          <w:b w:val="1"/>
          <w:color w:val="000000"/>
          <w:sz w:val="22"/>
          <w:szCs w:val="22"/>
          <w:highlight w:val="white"/>
          <w:rtl w:val="0"/>
        </w:rPr>
        <w:t xml:space="preserve">Transitionné Dans sa Propre Communauté</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sz w:val="28"/>
          <w:szCs w:val="28"/>
          <w:highlight w:val="white"/>
          <w:vertAlign w:val="superscript"/>
        </w:rPr>
      </w:pPr>
      <w:r w:rsidDel="00000000" w:rsidR="00000000" w:rsidRPr="00000000">
        <w:rPr>
          <w:sz w:val="21"/>
          <w:szCs w:val="21"/>
          <w:highlight w:val="white"/>
          <w:rtl w:val="0"/>
        </w:rPr>
        <w:t xml:space="preserve">Le 1er juin 2011, la Fondation Grameen a annoncé qu'elle mettrait fin à sa participation directe à l'Initiative Mifos et qu'elle ferait passer le projet à sa propre organisation, l'Initiative Mifos, qui contrôle désormais les projets Mifos et Mifos X.</w: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contextualSpacing w:val="0"/>
        <w:rPr>
          <w:sz w:val="22"/>
          <w:szCs w:val="22"/>
          <w:highlight w:val="white"/>
        </w:rPr>
      </w:pPr>
      <w:bookmarkStart w:colFirst="0" w:colLast="0" w:name="_gjyowwtk5755" w:id="5"/>
      <w:bookmarkEnd w:id="5"/>
      <w:r w:rsidDel="00000000" w:rsidR="00000000" w:rsidRPr="00000000">
        <w:rPr>
          <w:rFonts w:ascii="Georgia" w:cs="Georgia" w:eastAsia="Georgia" w:hAnsi="Georgia"/>
          <w:sz w:val="24"/>
          <w:szCs w:val="24"/>
          <w:highlight w:val="white"/>
          <w:rtl w:val="0"/>
        </w:rPr>
        <w:t xml:space="preserve">Communauté</w:t>
      </w:r>
      <w:r w:rsidDel="00000000" w:rsidR="00000000" w:rsidRPr="00000000">
        <w:rPr>
          <w:rtl w:val="0"/>
        </w:rPr>
      </w:r>
    </w:p>
    <w:p w:rsidR="00000000" w:rsidDel="00000000" w:rsidP="00000000" w:rsidRDefault="00000000" w:rsidRPr="00000000">
      <w:pPr>
        <w:spacing w:after="280" w:before="120" w:lineRule="auto"/>
        <w:ind w:left="300" w:firstLine="0"/>
        <w:contextualSpacing w:val="0"/>
        <w:jc w:val="center"/>
        <w:rPr>
          <w:highlight w:val="white"/>
        </w:rPr>
      </w:pPr>
      <w:r w:rsidDel="00000000" w:rsidR="00000000" w:rsidRPr="00000000">
        <w:rPr>
          <w:highlight w:val="white"/>
        </w:rPr>
        <w:drawing>
          <wp:inline distB="114300" distT="114300" distL="114300" distR="114300">
            <wp:extent cx="2790825" cy="1285875"/>
            <wp:effectExtent b="9525" l="9525" r="9525" t="9525"/>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90825" cy="1285875"/>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280" w:before="120" w:line="335.99999999999994" w:lineRule="auto"/>
        <w:ind w:left="300" w:firstLine="0"/>
        <w:contextualSpacing w:val="0"/>
        <w:jc w:val="center"/>
        <w:rPr>
          <w:sz w:val="19"/>
          <w:szCs w:val="19"/>
          <w:highlight w:val="white"/>
        </w:rPr>
      </w:pPr>
      <w:r w:rsidDel="00000000" w:rsidR="00000000" w:rsidRPr="00000000">
        <w:rPr>
          <w:sz w:val="19"/>
          <w:szCs w:val="19"/>
          <w:highlight w:val="white"/>
          <w:rtl w:val="0"/>
        </w:rPr>
        <w:t xml:space="preserve">Photo de groupe communautaire de l'initiative Mifos au sommet d'octobre 2012 à Bangalore</w:t>
      </w:r>
    </w:p>
    <w:p w:rsidR="00000000" w:rsidDel="00000000" w:rsidP="00000000" w:rsidRDefault="00000000" w:rsidRPr="00000000">
      <w:pPr>
        <w:shd w:fill="ffffff" w:val="clear"/>
        <w:spacing w:after="120" w:before="120" w:lineRule="auto"/>
        <w:contextualSpacing w:val="0"/>
        <w:rPr>
          <w:sz w:val="21"/>
          <w:szCs w:val="21"/>
          <w:highlight w:val="white"/>
        </w:rPr>
      </w:pPr>
      <w:r w:rsidDel="00000000" w:rsidR="00000000" w:rsidRPr="00000000">
        <w:rPr>
          <w:sz w:val="21"/>
          <w:szCs w:val="21"/>
          <w:highlight w:val="white"/>
          <w:rtl w:val="0"/>
        </w:rPr>
        <w:t xml:space="preserve">La communauté Mifos X comprend des développeurs, des exécutants et des utilisateurs de différents pays qui collaborent à travers des listes de diffusion, des IRC et des conférences annuelles.</w:t>
      </w:r>
    </w:p>
    <w:p w:rsidR="00000000" w:rsidDel="00000000" w:rsidP="00000000" w:rsidRDefault="00000000" w:rsidRPr="00000000">
      <w:pPr>
        <w:pStyle w:val="Heading3"/>
        <w:keepNext w:val="0"/>
        <w:keepLines w:val="0"/>
        <w:pBdr>
          <w:top w:color="auto" w:space="6" w:sz="0" w:val="none"/>
          <w:bottom w:color="auto" w:space="0" w:sz="0" w:val="none"/>
        </w:pBdr>
        <w:spacing w:after="0" w:before="80" w:line="384.00000000000006" w:lineRule="auto"/>
        <w:contextualSpacing w:val="0"/>
        <w:rPr>
          <w:color w:val="000000"/>
          <w:sz w:val="22"/>
          <w:szCs w:val="22"/>
          <w:highlight w:val="white"/>
        </w:rPr>
      </w:pPr>
      <w:bookmarkStart w:colFirst="0" w:colLast="0" w:name="_dju7ynhzi8k" w:id="6"/>
      <w:bookmarkEnd w:id="6"/>
      <w:r w:rsidDel="00000000" w:rsidR="00000000" w:rsidRPr="00000000">
        <w:rPr>
          <w:b w:val="1"/>
          <w:color w:val="000000"/>
          <w:sz w:val="22"/>
          <w:szCs w:val="22"/>
          <w:highlight w:val="white"/>
          <w:rtl w:val="0"/>
        </w:rPr>
        <w:t xml:space="preserve">Participation</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sz w:val="21"/>
          <w:szCs w:val="21"/>
          <w:highlight w:val="white"/>
        </w:rPr>
      </w:pPr>
      <w:r w:rsidDel="00000000" w:rsidR="00000000" w:rsidRPr="00000000">
        <w:rPr>
          <w:sz w:val="21"/>
          <w:szCs w:val="21"/>
          <w:highlight w:val="white"/>
          <w:rtl w:val="0"/>
        </w:rPr>
        <w:t xml:space="preserve">Chaque année, les développeurs Mifos X et les utilisateurs du monde entier se réunissent pour aider à façonner la vision de Mifos X. Le sommet est ouvert au public et à des conférences, des expositions et d'autres événements axés sur le public. Le sommet de 2012 s'est tenu à Bangalore et en octobre 2013, il s'est tenu à Jaipur. Tenu à Kampala en Ouganda, le Sommet de 2014 était un événement de quatre jours axé sur la formation pratique pour les partenaires et les utilisateurs, des sessions technologiques collaboratives pour les contributeurs et des sessions éducatives animées par des experts externes du secteur fintech et inclusion financière. C'était le troisième sommet annuel de Mifos, et visait à développer la communauté est-africaine.</w:t>
      </w:r>
    </w:p>
    <w:p w:rsidR="00000000" w:rsidDel="00000000" w:rsidP="00000000" w:rsidRDefault="00000000" w:rsidRPr="00000000">
      <w:pPr>
        <w:shd w:fill="ffffff" w:val="clear"/>
        <w:spacing w:after="120" w:before="120" w:lineRule="auto"/>
        <w:contextualSpacing w:val="0"/>
        <w:rPr>
          <w:sz w:val="21"/>
          <w:szCs w:val="21"/>
          <w:highlight w:val="white"/>
        </w:rPr>
      </w:pPr>
      <w:r w:rsidDel="00000000" w:rsidR="00000000" w:rsidRPr="00000000">
        <w:rPr>
          <w:sz w:val="21"/>
          <w:szCs w:val="21"/>
          <w:highlight w:val="white"/>
          <w:rtl w:val="0"/>
        </w:rPr>
        <w:t xml:space="preserve">Mifos X a également participé à plusieurs autres événements indépendants. En 2013, Mifos a participé à Google Summer of Code et Random Hacks of Kindness lors de RHoK Global en décembre 2012. Mifos a également sponsorisé l'événement FinDEVr San Francisco 2014. L'un des membres de Mifos, James Dailey, a discuté de la réinvention de la banque. Le 1er novembre, Mifos Initiative a également pris part au Global Islamic Microfinance Forum, qui s'est tenu à Dubaï, EAU.</w:t>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contextualSpacing w:val="0"/>
        <w:rPr>
          <w:sz w:val="24"/>
          <w:szCs w:val="24"/>
          <w:highlight w:val="white"/>
        </w:rPr>
      </w:pPr>
      <w:bookmarkStart w:colFirst="0" w:colLast="0" w:name="_lrb3is17osf3" w:id="7"/>
      <w:bookmarkEnd w:id="7"/>
      <w:r w:rsidDel="00000000" w:rsidR="00000000" w:rsidRPr="00000000">
        <w:rPr>
          <w:rFonts w:ascii="Georgia" w:cs="Georgia" w:eastAsia="Georgia" w:hAnsi="Georgia"/>
          <w:sz w:val="24"/>
          <w:szCs w:val="24"/>
          <w:highlight w:val="white"/>
          <w:rtl w:val="0"/>
        </w:rPr>
        <w:t xml:space="preserve">Peuple</w:t>
      </w:r>
      <w:r w:rsidDel="00000000" w:rsidR="00000000" w:rsidRPr="00000000">
        <w:rPr>
          <w:rtl w:val="0"/>
        </w:rPr>
      </w:r>
    </w:p>
    <w:p w:rsidR="00000000" w:rsidDel="00000000" w:rsidP="00000000" w:rsidRDefault="00000000" w:rsidRPr="00000000">
      <w:pPr>
        <w:pStyle w:val="Heading3"/>
        <w:keepNext w:val="0"/>
        <w:keepLines w:val="0"/>
        <w:pBdr>
          <w:top w:color="auto" w:space="6" w:sz="0" w:val="none"/>
          <w:bottom w:color="auto" w:space="0" w:sz="0" w:val="none"/>
        </w:pBdr>
        <w:spacing w:after="0" w:before="80" w:line="384.00000000000006" w:lineRule="auto"/>
        <w:contextualSpacing w:val="0"/>
        <w:rPr>
          <w:color w:val="000000"/>
          <w:sz w:val="22"/>
          <w:szCs w:val="22"/>
          <w:highlight w:val="white"/>
        </w:rPr>
      </w:pPr>
      <w:bookmarkStart w:colFirst="0" w:colLast="0" w:name="_vjdefvwatnxx" w:id="8"/>
      <w:bookmarkEnd w:id="8"/>
      <w:r w:rsidDel="00000000" w:rsidR="00000000" w:rsidRPr="00000000">
        <w:rPr>
          <w:b w:val="1"/>
          <w:color w:val="000000"/>
          <w:sz w:val="22"/>
          <w:szCs w:val="22"/>
          <w:highlight w:val="white"/>
          <w:rtl w:val="0"/>
        </w:rPr>
        <w:t xml:space="preserve">Le Conseil D'administration de L'Initiative Mifos</w:t>
      </w:r>
      <w:r w:rsidDel="00000000" w:rsidR="00000000" w:rsidRPr="00000000">
        <w:rPr>
          <w:rtl w:val="0"/>
        </w:rPr>
      </w:r>
    </w:p>
    <w:p w:rsidR="00000000" w:rsidDel="00000000" w:rsidP="00000000" w:rsidRDefault="00000000" w:rsidRPr="00000000">
      <w:pPr>
        <w:numPr>
          <w:ilvl w:val="0"/>
          <w:numId w:val="8"/>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Paul Maritz (Président du Conseil et CEO de Pivotal)</w:t>
      </w:r>
    </w:p>
    <w:p w:rsidR="00000000" w:rsidDel="00000000" w:rsidP="00000000" w:rsidRDefault="00000000" w:rsidRPr="00000000">
      <w:pPr>
        <w:numPr>
          <w:ilvl w:val="0"/>
          <w:numId w:val="8"/>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Zaheda Bhorat</w:t>
      </w:r>
    </w:p>
    <w:p w:rsidR="00000000" w:rsidDel="00000000" w:rsidP="00000000" w:rsidRDefault="00000000" w:rsidRPr="00000000">
      <w:pPr>
        <w:numPr>
          <w:ilvl w:val="0"/>
          <w:numId w:val="8"/>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James Dailey</w:t>
      </w:r>
    </w:p>
    <w:p w:rsidR="00000000" w:rsidDel="00000000" w:rsidP="00000000" w:rsidRDefault="00000000" w:rsidRPr="00000000">
      <w:pPr>
        <w:numPr>
          <w:ilvl w:val="0"/>
          <w:numId w:val="8"/>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Suresh Krishna (Directeur Général de Grameen Financial Services Private Ltd.)</w:t>
      </w:r>
    </w:p>
    <w:p w:rsidR="00000000" w:rsidDel="00000000" w:rsidP="00000000" w:rsidRDefault="00000000" w:rsidRPr="00000000">
      <w:pPr>
        <w:numPr>
          <w:ilvl w:val="0"/>
          <w:numId w:val="8"/>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Dave Neary</w:t>
      </w:r>
    </w:p>
    <w:p w:rsidR="00000000" w:rsidDel="00000000" w:rsidP="00000000" w:rsidRDefault="00000000" w:rsidRPr="00000000">
      <w:pPr>
        <w:numPr>
          <w:ilvl w:val="0"/>
          <w:numId w:val="8"/>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Craig Chelius</w:t>
      </w:r>
    </w:p>
    <w:p w:rsidR="00000000" w:rsidDel="00000000" w:rsidP="00000000" w:rsidRDefault="00000000" w:rsidRPr="00000000">
      <w:pPr>
        <w:numPr>
          <w:ilvl w:val="0"/>
          <w:numId w:val="8"/>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Edward Cable</w:t>
      </w:r>
    </w:p>
    <w:p w:rsidR="00000000" w:rsidDel="00000000" w:rsidP="00000000" w:rsidRDefault="00000000" w:rsidRPr="00000000">
      <w:pPr>
        <w:pStyle w:val="Heading3"/>
        <w:keepNext w:val="0"/>
        <w:keepLines w:val="0"/>
        <w:pBdr>
          <w:top w:color="auto" w:space="6" w:sz="0" w:val="none"/>
          <w:bottom w:color="auto" w:space="0" w:sz="0" w:val="none"/>
        </w:pBdr>
        <w:spacing w:after="0" w:before="80" w:line="384.00000000000006" w:lineRule="auto"/>
        <w:contextualSpacing w:val="0"/>
        <w:rPr>
          <w:color w:val="000000"/>
          <w:sz w:val="22"/>
          <w:szCs w:val="22"/>
          <w:highlight w:val="white"/>
        </w:rPr>
      </w:pPr>
      <w:bookmarkStart w:colFirst="0" w:colLast="0" w:name="_nf5x5tf9qpep" w:id="9"/>
      <w:bookmarkEnd w:id="9"/>
      <w:r w:rsidDel="00000000" w:rsidR="00000000" w:rsidRPr="00000000">
        <w:rPr>
          <w:b w:val="1"/>
          <w:color w:val="000000"/>
          <w:sz w:val="22"/>
          <w:szCs w:val="22"/>
          <w:highlight w:val="white"/>
          <w:rtl w:val="0"/>
        </w:rPr>
        <w:t xml:space="preserve">Équipe de direction</w:t>
      </w:r>
      <w:r w:rsidDel="00000000" w:rsidR="00000000" w:rsidRPr="00000000">
        <w:rPr>
          <w:rtl w:val="0"/>
        </w:rPr>
      </w:r>
    </w:p>
    <w:p w:rsidR="00000000" w:rsidDel="00000000" w:rsidP="00000000" w:rsidRDefault="00000000" w:rsidRPr="00000000">
      <w:pPr>
        <w:numPr>
          <w:ilvl w:val="0"/>
          <w:numId w:val="4"/>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Craig Chelius - Directeur Exécutif</w:t>
      </w:r>
    </w:p>
    <w:p w:rsidR="00000000" w:rsidDel="00000000" w:rsidP="00000000" w:rsidRDefault="00000000" w:rsidRPr="00000000">
      <w:pPr>
        <w:numPr>
          <w:ilvl w:val="0"/>
          <w:numId w:val="4"/>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Edward Cable - Directeur des Programmes Communautaires</w:t>
      </w:r>
    </w:p>
    <w:p w:rsidR="00000000" w:rsidDel="00000000" w:rsidP="00000000" w:rsidRDefault="00000000" w:rsidRPr="00000000">
      <w:pPr>
        <w:numPr>
          <w:ilvl w:val="0"/>
          <w:numId w:val="4"/>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Vishwas Babu - Ingénieur Communautaire en Chef</w:t>
      </w:r>
    </w:p>
    <w:p w:rsidR="00000000" w:rsidDel="00000000" w:rsidP="00000000" w:rsidRDefault="00000000" w:rsidRPr="00000000">
      <w:pPr>
        <w:numPr>
          <w:ilvl w:val="0"/>
          <w:numId w:val="4"/>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Binny Gopinath - Chef de Projet Mondial</w:t>
      </w:r>
    </w:p>
    <w:p w:rsidR="00000000" w:rsidDel="00000000" w:rsidP="00000000" w:rsidRDefault="00000000" w:rsidRPr="00000000">
      <w:pPr>
        <w:numPr>
          <w:ilvl w:val="0"/>
          <w:numId w:val="4"/>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Dayna Harp - Directeur des Initiatives Stratégiques</w:t>
      </w:r>
    </w:p>
    <w:p w:rsidR="00000000" w:rsidDel="00000000" w:rsidP="00000000" w:rsidRDefault="00000000" w:rsidRPr="00000000">
      <w:pPr>
        <w:pStyle w:val="Heading3"/>
        <w:keepNext w:val="0"/>
        <w:keepLines w:val="0"/>
        <w:pBdr>
          <w:top w:color="auto" w:space="6" w:sz="0" w:val="none"/>
          <w:bottom w:color="auto" w:space="0" w:sz="0" w:val="none"/>
        </w:pBdr>
        <w:spacing w:after="0" w:before="80" w:line="384.00000000000006" w:lineRule="auto"/>
        <w:contextualSpacing w:val="0"/>
        <w:rPr>
          <w:color w:val="000000"/>
          <w:sz w:val="22"/>
          <w:szCs w:val="22"/>
          <w:highlight w:val="white"/>
        </w:rPr>
      </w:pPr>
      <w:bookmarkStart w:colFirst="0" w:colLast="0" w:name="_pm3003ehqmmx" w:id="10"/>
      <w:bookmarkEnd w:id="10"/>
      <w:r w:rsidDel="00000000" w:rsidR="00000000" w:rsidRPr="00000000">
        <w:rPr>
          <w:b w:val="1"/>
          <w:color w:val="000000"/>
          <w:sz w:val="22"/>
          <w:szCs w:val="22"/>
          <w:highlight w:val="white"/>
          <w:rtl w:val="0"/>
        </w:rPr>
        <w:t xml:space="preserve">Conseillers</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sz w:val="21"/>
          <w:szCs w:val="21"/>
          <w:highlight w:val="white"/>
        </w:rPr>
      </w:pPr>
      <w:r w:rsidDel="00000000" w:rsidR="00000000" w:rsidRPr="00000000">
        <w:rPr>
          <w:sz w:val="21"/>
          <w:szCs w:val="21"/>
          <w:highlight w:val="white"/>
          <w:rtl w:val="0"/>
        </w:rPr>
        <w:t xml:space="preserve">Mifos dispose d'une équipe de conseillers commerciaux et techniques qui sont sollicités pour une réflexion visionnaire, une vision critique et une expertise sectorielle. Ceux-ci comprennent Steve Thomson (conseiller en services financiers), Bryan Barnett (conseiller en affaires) et Brian Behlendorf (conseiller technique).</w:t>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contextualSpacing w:val="0"/>
        <w:rPr>
          <w:sz w:val="24"/>
          <w:szCs w:val="24"/>
          <w:highlight w:val="white"/>
        </w:rPr>
      </w:pPr>
      <w:bookmarkStart w:colFirst="0" w:colLast="0" w:name="_f2lle7426huz" w:id="11"/>
      <w:bookmarkEnd w:id="11"/>
      <w:r w:rsidDel="00000000" w:rsidR="00000000" w:rsidRPr="00000000">
        <w:rPr>
          <w:rFonts w:ascii="Georgia" w:cs="Georgia" w:eastAsia="Georgia" w:hAnsi="Georgia"/>
          <w:sz w:val="24"/>
          <w:szCs w:val="24"/>
          <w:highlight w:val="white"/>
          <w:rtl w:val="0"/>
        </w:rPr>
        <w:t xml:space="preserve">Clients (Institutions Financières)</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sz w:val="21"/>
          <w:szCs w:val="21"/>
          <w:highlight w:val="white"/>
        </w:rPr>
      </w:pPr>
      <w:r w:rsidDel="00000000" w:rsidR="00000000" w:rsidRPr="00000000">
        <w:rPr>
          <w:sz w:val="21"/>
          <w:szCs w:val="21"/>
          <w:highlight w:val="white"/>
          <w:rtl w:val="0"/>
        </w:rPr>
        <w:t xml:space="preserve">Inde</w:t>
      </w:r>
    </w:p>
    <w:p w:rsidR="00000000" w:rsidDel="00000000" w:rsidP="00000000" w:rsidRDefault="00000000" w:rsidRPr="00000000">
      <w:pPr>
        <w:numPr>
          <w:ilvl w:val="0"/>
          <w:numId w:val="6"/>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Grameen Koota (avec environ 450 000 membres)</w:t>
      </w:r>
    </w:p>
    <w:p w:rsidR="00000000" w:rsidDel="00000000" w:rsidP="00000000" w:rsidRDefault="00000000" w:rsidRPr="00000000">
      <w:pPr>
        <w:numPr>
          <w:ilvl w:val="0"/>
          <w:numId w:val="6"/>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Nirantara</w:t>
      </w:r>
    </w:p>
    <w:p w:rsidR="00000000" w:rsidDel="00000000" w:rsidP="00000000" w:rsidRDefault="00000000" w:rsidRPr="00000000">
      <w:pPr>
        <w:numPr>
          <w:ilvl w:val="0"/>
          <w:numId w:val="6"/>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Adhikar</w:t>
      </w:r>
    </w:p>
    <w:p w:rsidR="00000000" w:rsidDel="00000000" w:rsidP="00000000" w:rsidRDefault="00000000" w:rsidRPr="00000000">
      <w:pPr>
        <w:numPr>
          <w:ilvl w:val="0"/>
          <w:numId w:val="6"/>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KNAB finance (www.knabfinance.com)</w:t>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contextualSpacing w:val="0"/>
        <w:rPr>
          <w:sz w:val="24"/>
          <w:szCs w:val="24"/>
          <w:highlight w:val="white"/>
        </w:rPr>
      </w:pPr>
      <w:bookmarkStart w:colFirst="0" w:colLast="0" w:name="_pj1ifnxpxixi" w:id="12"/>
      <w:bookmarkEnd w:id="12"/>
      <w:r w:rsidDel="00000000" w:rsidR="00000000" w:rsidRPr="00000000">
        <w:rPr>
          <w:rFonts w:ascii="Georgia" w:cs="Georgia" w:eastAsia="Georgia" w:hAnsi="Georgia"/>
          <w:sz w:val="24"/>
          <w:szCs w:val="24"/>
          <w:highlight w:val="white"/>
          <w:rtl w:val="0"/>
        </w:rPr>
        <w:t xml:space="preserve">Qualifications et Prix</w:t>
      </w:r>
      <w:r w:rsidDel="00000000" w:rsidR="00000000" w:rsidRPr="00000000">
        <w:rPr>
          <w:rtl w:val="0"/>
        </w:rPr>
      </w:r>
    </w:p>
    <w:p w:rsidR="00000000" w:rsidDel="00000000" w:rsidP="00000000" w:rsidRDefault="00000000" w:rsidRPr="00000000">
      <w:pPr>
        <w:numPr>
          <w:ilvl w:val="0"/>
          <w:numId w:val="5"/>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Mifos obtient des évaluations élevées sur les listes de logiciels CGAP</w:t>
      </w:r>
      <w:r w:rsidDel="00000000" w:rsidR="00000000" w:rsidRPr="00000000">
        <w:rPr>
          <w:rtl w:val="0"/>
        </w:rPr>
      </w:r>
    </w:p>
    <w:p w:rsidR="00000000" w:rsidDel="00000000" w:rsidP="00000000" w:rsidRDefault="00000000" w:rsidRPr="00000000">
      <w:pPr>
        <w:numPr>
          <w:ilvl w:val="0"/>
          <w:numId w:val="5"/>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Mifos a remporté le Duke's Choice Award en 2009 pour "Java Technology for the Open Source Community"</w:t>
      </w:r>
    </w:p>
    <w:p w:rsidR="00000000" w:rsidDel="00000000" w:rsidP="00000000" w:rsidRDefault="00000000" w:rsidRPr="00000000">
      <w:pPr>
        <w:numPr>
          <w:ilvl w:val="0"/>
          <w:numId w:val="5"/>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Mifos a participé au Google Summer Of Code en 2009, 2010, 2013, 2014 et 2016.</w: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contextualSpacing w:val="0"/>
        <w:rPr>
          <w:sz w:val="24"/>
          <w:szCs w:val="24"/>
          <w:highlight w:val="white"/>
        </w:rPr>
      </w:pPr>
      <w:bookmarkStart w:colFirst="0" w:colLast="0" w:name="_53bhp4xht741" w:id="13"/>
      <w:bookmarkEnd w:id="13"/>
      <w:r w:rsidDel="00000000" w:rsidR="00000000" w:rsidRPr="00000000">
        <w:rPr>
          <w:rFonts w:ascii="Georgia" w:cs="Georgia" w:eastAsia="Georgia" w:hAnsi="Georgia"/>
          <w:sz w:val="24"/>
          <w:szCs w:val="24"/>
          <w:highlight w:val="white"/>
          <w:rtl w:val="0"/>
        </w:rPr>
        <w:t xml:space="preserve">Partenariats</w:t>
      </w:r>
      <w:r w:rsidDel="00000000" w:rsidR="00000000" w:rsidRPr="00000000">
        <w:rPr>
          <w:rtl w:val="0"/>
        </w:rPr>
      </w:r>
    </w:p>
    <w:p w:rsidR="00000000" w:rsidDel="00000000" w:rsidP="00000000" w:rsidRDefault="00000000" w:rsidRPr="00000000">
      <w:pPr>
        <w:numPr>
          <w:ilvl w:val="0"/>
          <w:numId w:val="1"/>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IBM s'associe à la Fondation Grameen pour développer sa plateforme de microfinance en Open Source et contribuer à l'éradication de la pauvreté</w:t>
      </w:r>
    </w:p>
    <w:p w:rsidR="00000000" w:rsidDel="00000000" w:rsidP="00000000" w:rsidRDefault="00000000" w:rsidRPr="00000000">
      <w:pPr>
        <w:numPr>
          <w:ilvl w:val="0"/>
          <w:numId w:val="1"/>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La Fondation Grameen et ThoughtWorks s'associent pour étendre la plateforme technologique de la microfinance aux communautés mondiales</w:t>
      </w:r>
    </w:p>
    <w:p w:rsidR="00000000" w:rsidDel="00000000" w:rsidP="00000000" w:rsidRDefault="00000000" w:rsidRPr="00000000">
      <w:pPr>
        <w:numPr>
          <w:ilvl w:val="0"/>
          <w:numId w:val="1"/>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Selon Grameen Microfinance Open Source - Corporate Citizenship Report 2007, Cisco aidera à rendre le logiciel Mifos plus facile à déployer et à mettre à l'échelle pour servir plus d'institutions et de clients</w:t>
      </w:r>
    </w:p>
    <w:p w:rsidR="00000000" w:rsidDel="00000000" w:rsidP="00000000" w:rsidRDefault="00000000" w:rsidRPr="00000000">
      <w:pPr>
        <w:numPr>
          <w:ilvl w:val="0"/>
          <w:numId w:val="1"/>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La Fondation Grameen et SunGard s'associent pour soutenir le progrès technologique en microfinance</w: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contextualSpacing w:val="0"/>
        <w:rPr>
          <w:sz w:val="24"/>
          <w:szCs w:val="24"/>
          <w:highlight w:val="white"/>
        </w:rPr>
      </w:pPr>
      <w:bookmarkStart w:colFirst="0" w:colLast="0" w:name="_9h2a7tb8owmr" w:id="14"/>
      <w:bookmarkEnd w:id="14"/>
      <w:r w:rsidDel="00000000" w:rsidR="00000000" w:rsidRPr="00000000">
        <w:rPr>
          <w:rFonts w:ascii="Georgia" w:cs="Georgia" w:eastAsia="Georgia" w:hAnsi="Georgia"/>
          <w:sz w:val="24"/>
          <w:szCs w:val="24"/>
          <w:highlight w:val="white"/>
          <w:rtl w:val="0"/>
        </w:rPr>
        <w:t xml:space="preserve">Références </w:t>
      </w:r>
      <w:r w:rsidDel="00000000" w:rsidR="00000000" w:rsidRPr="00000000">
        <w:rPr>
          <w:rtl w:val="0"/>
        </w:rPr>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Microfinance: pourquoi l'Open Source a un plus grand impact</w:t>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La Fondation Grameen fait passer les Mifos à un effort mené par la communauté</w:t>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MIFOS.org</w:t>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"GSoC 2013 - COSM"</w:t>
      </w:r>
      <w:r w:rsidDel="00000000" w:rsidR="00000000" w:rsidRPr="00000000">
        <w:rPr>
          <w:sz w:val="19"/>
          <w:szCs w:val="19"/>
          <w:highlight w:val="white"/>
          <w:rtl w:val="0"/>
        </w:rPr>
        <w:t xml:space="preserve">. Google</w:t>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"Intégration de données financières à l'aide de communications SMS". Random Hacks of Kindness.</w:t>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"Communiqué de presse sur CGAP listant Mifos"</w:t>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"Java Duke's Choice Award 2009"</w:t>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"Open Source chez Google, Blog sur Mifos"</w:t>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"Nouvelles Mifos sur les participants au GSoC 2010"</w:t>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"Communiqué de presse IBM sur Mifos"</w:t>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"ThoughtWorks et Mifos"</w:t>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"Fondation Cisco sur Mifos"</w:t>
      </w:r>
    </w:p>
    <w:p w:rsidR="00000000" w:rsidDel="00000000" w:rsidP="00000000" w:rsidRDefault="00000000" w:rsidRPr="00000000">
      <w:pPr>
        <w:numPr>
          <w:ilvl w:val="0"/>
          <w:numId w:val="2"/>
        </w:numPr>
        <w:spacing w:after="120" w:before="60" w:lineRule="auto"/>
        <w:ind w:left="1320" w:hanging="360"/>
        <w:contextualSpacing w:val="1"/>
        <w:rPr>
          <w:color w:val="000000"/>
          <w:highlight w:val="white"/>
        </w:rPr>
      </w:pPr>
      <w:r w:rsidDel="00000000" w:rsidR="00000000" w:rsidRPr="00000000">
        <w:rPr>
          <w:sz w:val="19"/>
          <w:szCs w:val="19"/>
          <w:highlight w:val="white"/>
          <w:rtl w:val="0"/>
        </w:rPr>
        <w:t xml:space="preserve">"SunGard et MIFOS"</w:t>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contextualSpacing w:val="0"/>
        <w:rPr>
          <w:sz w:val="24"/>
          <w:szCs w:val="24"/>
          <w:highlight w:val="white"/>
        </w:rPr>
      </w:pPr>
      <w:bookmarkStart w:colFirst="0" w:colLast="0" w:name="_gj3jycfn8yh6" w:id="15"/>
      <w:bookmarkEnd w:id="15"/>
      <w:r w:rsidDel="00000000" w:rsidR="00000000" w:rsidRPr="00000000">
        <w:rPr>
          <w:rFonts w:ascii="Georgia" w:cs="Georgia" w:eastAsia="Georgia" w:hAnsi="Georgia"/>
          <w:sz w:val="24"/>
          <w:szCs w:val="24"/>
          <w:highlight w:val="white"/>
          <w:rtl w:val="0"/>
        </w:rPr>
        <w:t xml:space="preserve">Liens externes</w:t>
      </w:r>
      <w:r w:rsidDel="00000000" w:rsidR="00000000" w:rsidRPr="00000000">
        <w:rPr>
          <w:rtl w:val="0"/>
        </w:rPr>
      </w:r>
    </w:p>
    <w:p w:rsidR="00000000" w:rsidDel="00000000" w:rsidP="00000000" w:rsidRDefault="00000000" w:rsidRPr="00000000">
      <w:pPr>
        <w:numPr>
          <w:ilvl w:val="0"/>
          <w:numId w:val="3"/>
        </w:numPr>
        <w:spacing w:after="20" w:before="60" w:lineRule="auto"/>
        <w:ind w:left="1080" w:hanging="360"/>
        <w:contextualSpacing w:val="1"/>
        <w:rPr>
          <w:color w:val="000000"/>
          <w:highlight w:val="white"/>
        </w:rPr>
      </w:pPr>
      <w:r w:rsidDel="00000000" w:rsidR="00000000" w:rsidRPr="00000000">
        <w:rPr>
          <w:sz w:val="21"/>
          <w:szCs w:val="21"/>
          <w:highlight w:val="white"/>
          <w:rtl w:val="0"/>
        </w:rPr>
        <w:t xml:space="preserve">Site officiel</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rFonts w:ascii="Arial" w:cs="Arial" w:eastAsia="Arial" w:hAnsi="Arial"/>
        <w:color w:val="222222"/>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