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Montserrat" w:cs="Montserrat" w:eastAsia="Montserrat" w:hAnsi="Montserrat"/>
          <w:b w:val="1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72"/>
          <w:szCs w:val="72"/>
          <w:rtl w:val="0"/>
        </w:rPr>
        <w:t xml:space="preserve">Midway in the GCI</w:t>
      </w:r>
    </w:p>
    <w:p w:rsidR="00000000" w:rsidDel="00000000" w:rsidP="00000000" w:rsidRDefault="00000000" w:rsidRPr="00000000">
      <w:pPr>
        <w:contextualSpacing w:val="0"/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My GCI experience so far…</w:t>
      </w:r>
    </w:p>
    <w:p w:rsidR="00000000" w:rsidDel="00000000" w:rsidP="00000000" w:rsidRDefault="00000000" w:rsidRPr="00000000">
      <w:pPr>
        <w:contextualSpacing w:val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Hi again! It’s me Rohan and I’ve written this post to take you on a midway roller coaster ride and a mid of the week experience working with the Mifos and competing in the GCI ( Google Code- in).</w:t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As of now, a week into the competitive game, I’ve managed to come across tasks ranging from a number if different companies like the Liquid Galaxy Project, libre-health and SCoRe ( Sustainable computing research group) and of course Mifos Initiative.</w:t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Here’s a quick look at each of the tasks that the organizations provided and my journey accomplishing them. My entry to the GCI started with the press of a button that allowed me to work on a task. As basic as the experience was, it was quite fun :)</w:t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It was a beginner task to get myself along with members of libre -health ; A healthcare - technology company. I chatted for a while, introduced myself to the group and overall was a very vibrant and nurturing affair.</w:t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next one was Mifos; a financial company catering to needs of rural people ( “ maries ”) and I wrote a blog for them on the third day of the competition. The whole experience was fun and for a writer like me, it gave me the opportunity to write for a company. I still brag about that in my school ; ). It was great interacting with the mentors and after the &lt;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task approved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&gt; message I was certainly overjoyed and it left a good taste in my mouth.</w:t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With spirits running high, I enrolled in a Liquid Galaxy task specially because they are a pioneer in terms of geographical technology &amp; geography is one of my favourite subjects :D. I completed the task and moved on.</w:t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Since I got a good head-start, I realized that now I’m midway with GCI. So I search for a midway- GCI task and was thrilled to find out that the Mifos Initiative had already organized one. I quickly clicked,  “ claim task ” and got my coffee and started writing and this is the end result. A sweet and concise blog covering all my tasks</w:t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I’ve really grown while taking this competition. It has given me a boost and also a good hands on experience with real life projects. So I really want to thank google and the hosting organisation especially Mifos.</w:t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