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82B7E" w14:textId="60688C83" w:rsidR="00091411" w:rsidRDefault="00B26918" w:rsidP="00B26918">
      <w:pPr>
        <w:jc w:val="center"/>
        <w:rPr>
          <w:b/>
        </w:rPr>
      </w:pPr>
      <w:r>
        <w:rPr>
          <w:b/>
        </w:rPr>
        <w:t>Beta-</w:t>
      </w:r>
      <w:r w:rsidR="000E35FE">
        <w:rPr>
          <w:b/>
        </w:rPr>
        <w:t xml:space="preserve">Adrenergic </w:t>
      </w:r>
      <w:r>
        <w:rPr>
          <w:b/>
        </w:rPr>
        <w:t>Blocker</w:t>
      </w:r>
      <w:r w:rsidR="000E35FE">
        <w:rPr>
          <w:b/>
        </w:rPr>
        <w:t>s</w:t>
      </w:r>
      <w:r>
        <w:rPr>
          <w:b/>
        </w:rPr>
        <w:t xml:space="preserve"> + Epinephrine</w:t>
      </w:r>
      <w:r w:rsidR="004475C8">
        <w:rPr>
          <w:b/>
        </w:rPr>
        <w:t xml:space="preserve">  (Draft 2</w:t>
      </w:r>
      <w:r w:rsidR="00C45300">
        <w:rPr>
          <w:b/>
        </w:rPr>
        <w:t>)</w:t>
      </w:r>
    </w:p>
    <w:p w14:paraId="1C71A103" w14:textId="77777777" w:rsidR="00FA61D8" w:rsidRDefault="00FA61D8" w:rsidP="00091411">
      <w:pPr>
        <w:rPr>
          <w:rFonts w:ascii="Calibri" w:hAnsi="Calibri"/>
          <w:sz w:val="18"/>
          <w:szCs w:val="18"/>
        </w:rPr>
      </w:pPr>
    </w:p>
    <w:tbl>
      <w:tblPr>
        <w:tblStyle w:val="TableGrid"/>
        <w:tblW w:w="0" w:type="auto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725"/>
        <w:gridCol w:w="673"/>
        <w:gridCol w:w="990"/>
        <w:gridCol w:w="360"/>
        <w:gridCol w:w="360"/>
        <w:gridCol w:w="360"/>
        <w:gridCol w:w="360"/>
        <w:gridCol w:w="1080"/>
        <w:gridCol w:w="990"/>
        <w:gridCol w:w="990"/>
        <w:gridCol w:w="450"/>
        <w:gridCol w:w="630"/>
        <w:gridCol w:w="450"/>
        <w:gridCol w:w="450"/>
        <w:gridCol w:w="360"/>
        <w:gridCol w:w="360"/>
        <w:gridCol w:w="360"/>
        <w:gridCol w:w="360"/>
        <w:gridCol w:w="360"/>
        <w:gridCol w:w="450"/>
        <w:gridCol w:w="360"/>
        <w:gridCol w:w="360"/>
        <w:gridCol w:w="360"/>
        <w:gridCol w:w="360"/>
        <w:gridCol w:w="360"/>
        <w:gridCol w:w="360"/>
        <w:gridCol w:w="270"/>
        <w:gridCol w:w="360"/>
        <w:gridCol w:w="360"/>
        <w:gridCol w:w="360"/>
        <w:gridCol w:w="360"/>
        <w:gridCol w:w="360"/>
        <w:gridCol w:w="360"/>
        <w:gridCol w:w="810"/>
        <w:gridCol w:w="810"/>
        <w:gridCol w:w="1350"/>
      </w:tblGrid>
      <w:tr w:rsidR="00C46B53" w:rsidRPr="0089520A" w14:paraId="1698219F" w14:textId="256E0A38" w:rsidTr="00CC038B">
        <w:tc>
          <w:tcPr>
            <w:tcW w:w="1725" w:type="dxa"/>
            <w:tcBorders>
              <w:right w:val="single" w:sz="18" w:space="0" w:color="auto"/>
            </w:tcBorders>
          </w:tcPr>
          <w:p w14:paraId="228CC98A" w14:textId="052C54CF" w:rsidR="00C46B53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Order of administration</w:t>
            </w:r>
          </w:p>
        </w:tc>
        <w:tc>
          <w:tcPr>
            <w:tcW w:w="16603" w:type="dxa"/>
            <w:gridSpan w:val="34"/>
          </w:tcPr>
          <w:p w14:paraId="50743EC0" w14:textId="42DADF57" w:rsidR="00C46B53" w:rsidRDefault="00C46B53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Epinephrine given in the presence of beta-blockade</w:t>
            </w:r>
          </w:p>
        </w:tc>
        <w:tc>
          <w:tcPr>
            <w:tcW w:w="1350" w:type="dxa"/>
          </w:tcPr>
          <w:p w14:paraId="098ABCD2" w14:textId="61B6DE6D" w:rsidR="00C46B53" w:rsidRDefault="00C46B53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Beta-blocker given after epinephrine</w:t>
            </w:r>
          </w:p>
        </w:tc>
      </w:tr>
      <w:tr w:rsidR="00C46B53" w:rsidRPr="0089520A" w14:paraId="05D75580" w14:textId="01F6A8C1" w:rsidTr="00CC038B">
        <w:tc>
          <w:tcPr>
            <w:tcW w:w="1725" w:type="dxa"/>
            <w:tcBorders>
              <w:right w:val="single" w:sz="18" w:space="0" w:color="auto"/>
            </w:tcBorders>
          </w:tcPr>
          <w:p w14:paraId="35B9BF8F" w14:textId="41852A3B" w:rsidR="00C46B53" w:rsidRPr="0089520A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Epinephrine route of</w:t>
            </w:r>
            <w:r w:rsidRPr="0089520A">
              <w:rPr>
                <w:rFonts w:ascii="Calibri" w:hAnsi="Calibri"/>
                <w:sz w:val="16"/>
                <w:szCs w:val="16"/>
              </w:rPr>
              <w:t xml:space="preserve"> administration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4D82ED8B" w14:textId="3EADC52C" w:rsidR="00C46B53" w:rsidRDefault="00C46B53" w:rsidP="00333293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Inhaled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09AD3EFE" w14:textId="77777777" w:rsidR="00C46B53" w:rsidRDefault="00C46B53" w:rsidP="00333293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Ophthalmic</w:t>
            </w:r>
          </w:p>
          <w:p w14:paraId="7060C02F" w14:textId="460AAB6C" w:rsidR="00C46B53" w:rsidRDefault="00C46B53" w:rsidP="00333293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Epinephrine</w:t>
            </w:r>
          </w:p>
        </w:tc>
        <w:tc>
          <w:tcPr>
            <w:tcW w:w="1440" w:type="dxa"/>
            <w:gridSpan w:val="4"/>
            <w:tcBorders>
              <w:left w:val="single" w:sz="4" w:space="0" w:color="auto"/>
            </w:tcBorders>
          </w:tcPr>
          <w:p w14:paraId="31F698F5" w14:textId="269BB64F" w:rsidR="00C46B53" w:rsidRPr="0089520A" w:rsidRDefault="00C46B53" w:rsidP="00333293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Epinephrine combined with </w:t>
            </w:r>
            <w:r>
              <w:rPr>
                <w:rFonts w:ascii="Calibri" w:hAnsi="Calibri"/>
                <w:sz w:val="16"/>
                <w:szCs w:val="16"/>
              </w:rPr>
              <w:br/>
              <w:t>local anesthetic</w:t>
            </w:r>
          </w:p>
        </w:tc>
        <w:tc>
          <w:tcPr>
            <w:tcW w:w="13500" w:type="dxa"/>
            <w:gridSpan w:val="28"/>
          </w:tcPr>
          <w:p w14:paraId="716F23D3" w14:textId="77777777" w:rsidR="00C46B53" w:rsidRDefault="00C46B53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5C56B7D5" w14:textId="5F03C02F" w:rsidR="00C46B53" w:rsidRPr="0089520A" w:rsidRDefault="00C46B53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Injection Resulting in</w:t>
            </w:r>
            <w:r w:rsidRPr="0089520A">
              <w:rPr>
                <w:rFonts w:ascii="Calibri" w:hAnsi="Calibri"/>
                <w:sz w:val="16"/>
                <w:szCs w:val="16"/>
              </w:rPr>
              <w:t xml:space="preserve"> Systemic</w:t>
            </w:r>
            <w:r>
              <w:rPr>
                <w:rFonts w:ascii="Calibri" w:hAnsi="Calibri"/>
                <w:sz w:val="16"/>
                <w:szCs w:val="16"/>
              </w:rPr>
              <w:t xml:space="preserve"> Epinephrine</w:t>
            </w:r>
            <w:r w:rsidRPr="0089520A">
              <w:rPr>
                <w:rFonts w:ascii="Calibri" w:hAnsi="Calibri"/>
                <w:sz w:val="16"/>
                <w:szCs w:val="16"/>
              </w:rPr>
              <w:t xml:space="preserve"> Effects</w:t>
            </w:r>
          </w:p>
        </w:tc>
        <w:tc>
          <w:tcPr>
            <w:tcW w:w="1350" w:type="dxa"/>
          </w:tcPr>
          <w:p w14:paraId="6EB4B3CD" w14:textId="77777777" w:rsidR="00C46B53" w:rsidRPr="0089520A" w:rsidRDefault="00C46B53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C46B53" w:rsidRPr="0089520A" w14:paraId="1AFE85DA" w14:textId="52F0C7DF" w:rsidTr="00CC038B">
        <w:tc>
          <w:tcPr>
            <w:tcW w:w="1725" w:type="dxa"/>
            <w:tcBorders>
              <w:right w:val="single" w:sz="18" w:space="0" w:color="auto"/>
            </w:tcBorders>
          </w:tcPr>
          <w:p w14:paraId="5A590D9D" w14:textId="5656410E" w:rsidR="00C46B53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Dental use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4EB556FD" w14:textId="77777777" w:rsidR="00C46B53" w:rsidRDefault="00C46B53" w:rsidP="00333293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56A6C85" w14:textId="77777777" w:rsidR="00C46B53" w:rsidRDefault="00C46B53" w:rsidP="00333293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256C2783" w14:textId="4AB9CFEC" w:rsidR="00C46B53" w:rsidRPr="0089520A" w:rsidRDefault="00C46B53" w:rsidP="00333293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1080" w:type="dxa"/>
            <w:gridSpan w:val="3"/>
            <w:tcBorders>
              <w:left w:val="single" w:sz="4" w:space="0" w:color="auto"/>
            </w:tcBorders>
          </w:tcPr>
          <w:p w14:paraId="3D227915" w14:textId="6F7BEBE1" w:rsidR="00C46B53" w:rsidRPr="0089520A" w:rsidRDefault="00C46B53" w:rsidP="00333293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13500" w:type="dxa"/>
            <w:gridSpan w:val="28"/>
          </w:tcPr>
          <w:p w14:paraId="4134A083" w14:textId="2467CCA4" w:rsidR="00C46B53" w:rsidRPr="0089520A" w:rsidRDefault="00C46B53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A309551" w14:textId="77777777" w:rsidR="00C46B53" w:rsidRPr="0089520A" w:rsidRDefault="00C46B53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C46B53" w:rsidRPr="0089520A" w14:paraId="03C5B951" w14:textId="6E969E32" w:rsidTr="00CC038B">
        <w:tc>
          <w:tcPr>
            <w:tcW w:w="1725" w:type="dxa"/>
            <w:tcBorders>
              <w:right w:val="single" w:sz="18" w:space="0" w:color="auto"/>
            </w:tcBorders>
          </w:tcPr>
          <w:p w14:paraId="469FC9A4" w14:textId="536306CE" w:rsidR="00C46B53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Dermatologic use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5FBAEE45" w14:textId="77777777" w:rsidR="00C46B53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0CE48274" w14:textId="77777777" w:rsidR="00C46B53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B077BEE" w14:textId="6ED217B6" w:rsidR="00C46B53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92A541E" w14:textId="1908F763" w:rsidR="00C46B53" w:rsidRDefault="00C46B53" w:rsidP="00161E16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720" w:type="dxa"/>
            <w:gridSpan w:val="2"/>
            <w:tcBorders>
              <w:left w:val="single" w:sz="4" w:space="0" w:color="auto"/>
            </w:tcBorders>
          </w:tcPr>
          <w:p w14:paraId="44128196" w14:textId="19C403B2" w:rsidR="00C46B53" w:rsidRDefault="00C46B53" w:rsidP="00333293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13500" w:type="dxa"/>
            <w:gridSpan w:val="28"/>
          </w:tcPr>
          <w:p w14:paraId="17E9EA14" w14:textId="5BAAD74D" w:rsidR="00C46B53" w:rsidRPr="0089520A" w:rsidRDefault="00C46B53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33FD72E" w14:textId="77777777" w:rsidR="00C46B53" w:rsidRPr="0089520A" w:rsidRDefault="00C46B53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C46B53" w:rsidRPr="0089520A" w14:paraId="0BA0C990" w14:textId="416E3FDD" w:rsidTr="00CC038B">
        <w:tc>
          <w:tcPr>
            <w:tcW w:w="1725" w:type="dxa"/>
            <w:tcBorders>
              <w:right w:val="single" w:sz="18" w:space="0" w:color="auto"/>
            </w:tcBorders>
          </w:tcPr>
          <w:p w14:paraId="38C86AC8" w14:textId="0919D6EC" w:rsidR="00C46B53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Plastic surgery use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2EEB02B" w14:textId="77777777" w:rsidR="00C46B53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3D4F352D" w14:textId="77777777" w:rsidR="00C46B53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BB553F8" w14:textId="356D4DD2" w:rsidR="00C46B53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6633EB6" w14:textId="77777777" w:rsidR="00C46B53" w:rsidRDefault="00C46B53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869C26E" w14:textId="5B8C1EE1" w:rsidR="00C46B53" w:rsidRDefault="00C46B53" w:rsidP="00161E16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F2B2FFA" w14:textId="2FE472DD" w:rsidR="00C46B53" w:rsidRDefault="00C46B53" w:rsidP="00B13EBD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13500" w:type="dxa"/>
            <w:gridSpan w:val="28"/>
          </w:tcPr>
          <w:p w14:paraId="6C54C89B" w14:textId="034EC012" w:rsidR="00C46B53" w:rsidRPr="0089520A" w:rsidRDefault="00C46B53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D94DD26" w14:textId="77777777" w:rsidR="00C46B53" w:rsidRPr="0089520A" w:rsidRDefault="00C46B53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C46B53" w:rsidRPr="0089520A" w14:paraId="3D553136" w14:textId="639F601A" w:rsidTr="00CC038B">
        <w:tc>
          <w:tcPr>
            <w:tcW w:w="1725" w:type="dxa"/>
            <w:tcBorders>
              <w:right w:val="single" w:sz="18" w:space="0" w:color="auto"/>
            </w:tcBorders>
          </w:tcPr>
          <w:p w14:paraId="30F7D14A" w14:textId="110DD41D" w:rsidR="00C46B53" w:rsidRPr="0089520A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Epinephrine indication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4108AD28" w14:textId="77777777" w:rsidR="00C46B53" w:rsidRPr="0089520A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F95B4D1" w14:textId="77777777" w:rsidR="00C46B53" w:rsidRPr="0089520A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2E24C9CB" w14:textId="22B7C88E" w:rsidR="00C46B53" w:rsidRPr="0089520A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016D1F8" w14:textId="77777777" w:rsidR="00C46B53" w:rsidRPr="0089520A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4BA3046" w14:textId="77777777" w:rsidR="00C46B53" w:rsidRPr="0089520A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AAB1975" w14:textId="77777777" w:rsidR="00C46B53" w:rsidRPr="0089520A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14B87E3" w14:textId="60131321" w:rsidR="00C46B53" w:rsidRPr="0089520A" w:rsidRDefault="00C46B53" w:rsidP="00B13EBD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Patient in</w:t>
            </w:r>
          </w:p>
          <w:p w14:paraId="545E3647" w14:textId="5A8F2A02" w:rsidR="00C46B53" w:rsidRPr="0089520A" w:rsidRDefault="00C46B53" w:rsidP="00B13EBD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Anaphylaxis</w:t>
            </w:r>
          </w:p>
        </w:tc>
        <w:tc>
          <w:tcPr>
            <w:tcW w:w="990" w:type="dxa"/>
          </w:tcPr>
          <w:p w14:paraId="1D40C108" w14:textId="77777777" w:rsidR="00C46B53" w:rsidRPr="0089520A" w:rsidRDefault="00C46B53" w:rsidP="00B13EBD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Anaphylaxis</w:t>
            </w:r>
          </w:p>
          <w:p w14:paraId="6C128337" w14:textId="4CFE9537" w:rsidR="00C46B53" w:rsidRPr="0089520A" w:rsidRDefault="00C46B53" w:rsidP="00B13EBD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Prevention</w:t>
            </w:r>
          </w:p>
        </w:tc>
        <w:tc>
          <w:tcPr>
            <w:tcW w:w="11430" w:type="dxa"/>
            <w:gridSpan w:val="26"/>
          </w:tcPr>
          <w:p w14:paraId="2A9C2FF6" w14:textId="2E47546F" w:rsidR="00C46B53" w:rsidRPr="0089520A" w:rsidRDefault="00C46B53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Indication Other Than Anaphylaxis (including allergic re</w:t>
            </w:r>
            <w:r w:rsidR="007C223A">
              <w:rPr>
                <w:rFonts w:ascii="Calibri" w:hAnsi="Calibri"/>
                <w:sz w:val="16"/>
                <w:szCs w:val="16"/>
              </w:rPr>
              <w:t>actions not expected to lead to anaphylaxis</w:t>
            </w:r>
            <w:r w:rsidRPr="0089520A">
              <w:rPr>
                <w:rFonts w:ascii="Calibri" w:hAnsi="Calibri"/>
                <w:sz w:val="16"/>
                <w:szCs w:val="16"/>
              </w:rPr>
              <w:t>)</w:t>
            </w:r>
          </w:p>
          <w:p w14:paraId="2A416A6A" w14:textId="77777777" w:rsidR="00C46B53" w:rsidRPr="0089520A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436B29D" w14:textId="77777777" w:rsidR="00C46B53" w:rsidRPr="0089520A" w:rsidRDefault="00C46B53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5B20563A" w14:textId="7B08F2B2" w:rsidTr="00CC038B">
        <w:tc>
          <w:tcPr>
            <w:tcW w:w="1725" w:type="dxa"/>
            <w:tcBorders>
              <w:right w:val="single" w:sz="18" w:space="0" w:color="auto"/>
            </w:tcBorders>
          </w:tcPr>
          <w:p w14:paraId="084DC248" w14:textId="312D9C3F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Beta-blocker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452DD679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0BD46C9A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2A22F995" w14:textId="2D46AFD6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2F1C6CA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12B6D7F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97CB038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ACD902A" w14:textId="28A41314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486A5148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0962D8EC" w14:textId="17AB303E" w:rsidR="00161E16" w:rsidRPr="0089520A" w:rsidRDefault="00161E16" w:rsidP="0041688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C</w:t>
            </w:r>
            <w:r w:rsidRPr="0089520A">
              <w:rPr>
                <w:rFonts w:ascii="Calibri" w:hAnsi="Calibri"/>
                <w:sz w:val="16"/>
                <w:szCs w:val="16"/>
              </w:rPr>
              <w:t>arteolol</w:t>
            </w:r>
            <w:proofErr w:type="spellEnd"/>
          </w:p>
          <w:p w14:paraId="302892CD" w14:textId="5B37A896" w:rsidR="00161E16" w:rsidRPr="0089520A" w:rsidRDefault="00161E16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L</w:t>
            </w:r>
            <w:r w:rsidRPr="0089520A">
              <w:rPr>
                <w:rFonts w:ascii="Calibri" w:hAnsi="Calibri"/>
                <w:sz w:val="16"/>
                <w:szCs w:val="16"/>
              </w:rPr>
              <w:t>evobunolol</w:t>
            </w:r>
            <w:proofErr w:type="spellEnd"/>
          </w:p>
          <w:p w14:paraId="1F949DBD" w14:textId="4275824F" w:rsidR="00161E16" w:rsidRPr="0089520A" w:rsidRDefault="00161E16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N</w:t>
            </w:r>
            <w:r w:rsidRPr="0089520A">
              <w:rPr>
                <w:rFonts w:ascii="Calibri" w:hAnsi="Calibri"/>
                <w:sz w:val="16"/>
                <w:szCs w:val="16"/>
              </w:rPr>
              <w:t>adolol</w:t>
            </w:r>
            <w:proofErr w:type="spellEnd"/>
          </w:p>
          <w:p w14:paraId="23741847" w14:textId="11D2AA98" w:rsidR="00161E16" w:rsidRPr="0089520A" w:rsidRDefault="00161E16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P</w:t>
            </w:r>
            <w:r w:rsidRPr="0089520A">
              <w:rPr>
                <w:rFonts w:ascii="Calibri" w:hAnsi="Calibri"/>
                <w:sz w:val="16"/>
                <w:szCs w:val="16"/>
              </w:rPr>
              <w:t>enbutolol</w:t>
            </w:r>
            <w:proofErr w:type="spellEnd"/>
          </w:p>
          <w:p w14:paraId="37D4339C" w14:textId="7B4077E7" w:rsidR="00161E16" w:rsidRPr="0089520A" w:rsidRDefault="00161E16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P</w:t>
            </w:r>
            <w:r w:rsidRPr="0089520A">
              <w:rPr>
                <w:rFonts w:ascii="Calibri" w:hAnsi="Calibri"/>
                <w:sz w:val="16"/>
                <w:szCs w:val="16"/>
              </w:rPr>
              <w:t>indolol</w:t>
            </w:r>
            <w:proofErr w:type="spellEnd"/>
          </w:p>
          <w:p w14:paraId="62CCBD03" w14:textId="554B04B3" w:rsidR="00161E16" w:rsidRPr="0089520A" w:rsidRDefault="00161E16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Pr</w:t>
            </w:r>
            <w:r w:rsidRPr="0089520A">
              <w:rPr>
                <w:rFonts w:ascii="Calibri" w:hAnsi="Calibri"/>
                <w:sz w:val="16"/>
                <w:szCs w:val="16"/>
              </w:rPr>
              <w:t>opranolol</w:t>
            </w:r>
          </w:p>
          <w:p w14:paraId="4A1CD6B6" w14:textId="32BD2D87" w:rsidR="00161E16" w:rsidRPr="0089520A" w:rsidRDefault="00161E16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S</w:t>
            </w:r>
            <w:r w:rsidRPr="0089520A">
              <w:rPr>
                <w:rFonts w:ascii="Calibri" w:hAnsi="Calibri"/>
                <w:sz w:val="16"/>
                <w:szCs w:val="16"/>
              </w:rPr>
              <w:t>otalol</w:t>
            </w:r>
            <w:proofErr w:type="spellEnd"/>
          </w:p>
        </w:tc>
        <w:tc>
          <w:tcPr>
            <w:tcW w:w="2340" w:type="dxa"/>
            <w:gridSpan w:val="5"/>
          </w:tcPr>
          <w:p w14:paraId="190D2634" w14:textId="4F15EAF2" w:rsidR="00161E16" w:rsidRPr="0089520A" w:rsidRDefault="00161E16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T</w:t>
            </w:r>
            <w:r w:rsidRPr="0089520A">
              <w:rPr>
                <w:rFonts w:ascii="Calibri" w:hAnsi="Calibri"/>
                <w:sz w:val="16"/>
                <w:szCs w:val="16"/>
              </w:rPr>
              <w:t>imolol</w:t>
            </w:r>
            <w:proofErr w:type="spellEnd"/>
          </w:p>
          <w:p w14:paraId="355BAD1E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  <w:gridSpan w:val="3"/>
          </w:tcPr>
          <w:p w14:paraId="4A17CBF7" w14:textId="2B65859F" w:rsidR="00161E16" w:rsidRPr="0089520A" w:rsidRDefault="00161E16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Atenolol</w:t>
            </w:r>
          </w:p>
          <w:p w14:paraId="46B5DE23" w14:textId="77777777" w:rsidR="00161E16" w:rsidRPr="0089520A" w:rsidRDefault="00161E16" w:rsidP="00BA0879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0" w:type="dxa"/>
            <w:gridSpan w:val="3"/>
          </w:tcPr>
          <w:p w14:paraId="458C85F3" w14:textId="0119D312" w:rsidR="00161E16" w:rsidRDefault="00161E16" w:rsidP="00BA0879">
            <w:pPr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Bisoprolol</w:t>
            </w:r>
            <w:proofErr w:type="spellEnd"/>
          </w:p>
          <w:p w14:paraId="4907A688" w14:textId="77777777" w:rsidR="00161E16" w:rsidRPr="0089520A" w:rsidRDefault="00161E16" w:rsidP="00BA0879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1F2EC5C5" w14:textId="57A1BBE5" w:rsidR="00161E16" w:rsidRDefault="00161E16" w:rsidP="002A1478">
            <w:pPr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Esmolol</w:t>
            </w:r>
            <w:proofErr w:type="spellEnd"/>
          </w:p>
          <w:p w14:paraId="2584C03D" w14:textId="77777777" w:rsidR="00161E16" w:rsidRPr="0089520A" w:rsidRDefault="00161E16" w:rsidP="00BA0879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  <w:gridSpan w:val="4"/>
          </w:tcPr>
          <w:p w14:paraId="1FE42556" w14:textId="671243D3" w:rsidR="00161E16" w:rsidRPr="0089520A" w:rsidRDefault="00161E16" w:rsidP="002A1478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Metoprolol</w:t>
            </w:r>
          </w:p>
        </w:tc>
        <w:tc>
          <w:tcPr>
            <w:tcW w:w="1440" w:type="dxa"/>
            <w:gridSpan w:val="4"/>
          </w:tcPr>
          <w:p w14:paraId="58526EC3" w14:textId="2ED27695" w:rsidR="00161E16" w:rsidRPr="0089520A" w:rsidRDefault="00161E16" w:rsidP="002A1478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Nebivolol</w:t>
            </w:r>
            <w:proofErr w:type="spellEnd"/>
          </w:p>
        </w:tc>
        <w:tc>
          <w:tcPr>
            <w:tcW w:w="720" w:type="dxa"/>
            <w:gridSpan w:val="2"/>
          </w:tcPr>
          <w:p w14:paraId="462F7FFE" w14:textId="5CE62048" w:rsidR="00161E16" w:rsidRPr="0089520A" w:rsidRDefault="00161E16" w:rsidP="000E35F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Betaxolol</w:t>
            </w:r>
            <w:proofErr w:type="spellEnd"/>
          </w:p>
        </w:tc>
        <w:tc>
          <w:tcPr>
            <w:tcW w:w="810" w:type="dxa"/>
          </w:tcPr>
          <w:p w14:paraId="5B652B83" w14:textId="43D38980" w:rsidR="00161E16" w:rsidRPr="0089520A" w:rsidRDefault="00C435F7" w:rsidP="0041688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sz w:val="16"/>
                <w:szCs w:val="16"/>
              </w:rPr>
              <w:t>Labetolol</w:t>
            </w:r>
            <w:proofErr w:type="spellEnd"/>
          </w:p>
        </w:tc>
        <w:tc>
          <w:tcPr>
            <w:tcW w:w="810" w:type="dxa"/>
          </w:tcPr>
          <w:p w14:paraId="57E55361" w14:textId="1712B5C2" w:rsidR="00161E16" w:rsidRPr="0089520A" w:rsidRDefault="00C435F7" w:rsidP="00C435F7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Carvedilol </w:t>
            </w:r>
          </w:p>
        </w:tc>
        <w:tc>
          <w:tcPr>
            <w:tcW w:w="1350" w:type="dxa"/>
          </w:tcPr>
          <w:p w14:paraId="215380C4" w14:textId="77777777" w:rsidR="00161E16" w:rsidRPr="0089520A" w:rsidRDefault="00161E16" w:rsidP="0041688E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71B67215" w14:textId="15968F22" w:rsidTr="00CC038B">
        <w:tc>
          <w:tcPr>
            <w:tcW w:w="1725" w:type="dxa"/>
            <w:tcBorders>
              <w:right w:val="single" w:sz="18" w:space="0" w:color="auto"/>
            </w:tcBorders>
          </w:tcPr>
          <w:p w14:paraId="0298C70A" w14:textId="0A82E912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Route of administration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5EACCFAC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947AB1A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3A18878D" w14:textId="6F570AD6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2E50E12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31D9C90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D3BEA58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A14F98D" w14:textId="19DEA3BB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136620BD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4E10FD33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0842B825" w14:textId="48BAB349" w:rsidR="00161E16" w:rsidRPr="0089520A" w:rsidRDefault="00161E16" w:rsidP="004475C8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Oral</w:t>
            </w:r>
          </w:p>
        </w:tc>
        <w:tc>
          <w:tcPr>
            <w:tcW w:w="630" w:type="dxa"/>
          </w:tcPr>
          <w:p w14:paraId="57564D0B" w14:textId="44AA3FDC" w:rsidR="00161E16" w:rsidRPr="0089520A" w:rsidRDefault="00161E16" w:rsidP="004475C8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Eye gel</w:t>
            </w:r>
          </w:p>
        </w:tc>
        <w:tc>
          <w:tcPr>
            <w:tcW w:w="1260" w:type="dxa"/>
            <w:gridSpan w:val="3"/>
          </w:tcPr>
          <w:p w14:paraId="591C8045" w14:textId="02F5EE28" w:rsidR="00161E16" w:rsidRPr="0089520A" w:rsidRDefault="00161E16" w:rsidP="004475C8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Eye Drops</w:t>
            </w:r>
          </w:p>
        </w:tc>
        <w:tc>
          <w:tcPr>
            <w:tcW w:w="1080" w:type="dxa"/>
            <w:gridSpan w:val="3"/>
          </w:tcPr>
          <w:p w14:paraId="550C9550" w14:textId="18C85974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0" w:type="dxa"/>
            <w:gridSpan w:val="3"/>
          </w:tcPr>
          <w:p w14:paraId="5155D17A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740DE6AF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  <w:gridSpan w:val="4"/>
          </w:tcPr>
          <w:p w14:paraId="1116358F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0" w:type="dxa"/>
            <w:gridSpan w:val="4"/>
          </w:tcPr>
          <w:p w14:paraId="7B7A8307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02D4E4E0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59D1FA7A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1EC110B1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BFDB66F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089C3C7D" w14:textId="6AC409BF" w:rsidTr="00CC038B">
        <w:tc>
          <w:tcPr>
            <w:tcW w:w="1725" w:type="dxa"/>
            <w:tcBorders>
              <w:right w:val="single" w:sz="18" w:space="0" w:color="auto"/>
            </w:tcBorders>
          </w:tcPr>
          <w:p w14:paraId="7F4383FD" w14:textId="50EB4482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Dose &gt; 100 mg/d?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F65C8B3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261690BB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5C2B848F" w14:textId="4D7BEBEC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CD91ADF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33325BC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CB9B212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C894156" w14:textId="4A698254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48404C23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0C683D86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2D7042D0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30" w:type="dxa"/>
          </w:tcPr>
          <w:p w14:paraId="3C8846B5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60" w:type="dxa"/>
            <w:gridSpan w:val="3"/>
          </w:tcPr>
          <w:p w14:paraId="34BCBE50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989BD16" w14:textId="20029A23" w:rsidR="00161E16" w:rsidRPr="0089520A" w:rsidRDefault="00161E16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720" w:type="dxa"/>
            <w:gridSpan w:val="2"/>
          </w:tcPr>
          <w:p w14:paraId="57438C4B" w14:textId="4838AA03" w:rsidR="00161E16" w:rsidRPr="0089520A" w:rsidRDefault="00161E16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1170" w:type="dxa"/>
            <w:gridSpan w:val="3"/>
          </w:tcPr>
          <w:p w14:paraId="05AA6B1D" w14:textId="237EEC7F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35FFCA1B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8D4E5DD" w14:textId="6F3FF4CD" w:rsidR="00161E16" w:rsidRPr="0089520A" w:rsidRDefault="00161E16" w:rsidP="00A47C7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990" w:type="dxa"/>
            <w:gridSpan w:val="3"/>
          </w:tcPr>
          <w:p w14:paraId="64838FF4" w14:textId="2B8575C4" w:rsidR="00161E16" w:rsidRPr="0089520A" w:rsidRDefault="00161E16" w:rsidP="002A1478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1440" w:type="dxa"/>
            <w:gridSpan w:val="4"/>
          </w:tcPr>
          <w:p w14:paraId="1F248DCF" w14:textId="021E6E8C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10DA2E5F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30D388D3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152D71B0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DB6D9A6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1B31BDE8" w14:textId="61C44158" w:rsidTr="00CC038B">
        <w:tc>
          <w:tcPr>
            <w:tcW w:w="1725" w:type="dxa"/>
            <w:tcBorders>
              <w:right w:val="single" w:sz="18" w:space="0" w:color="auto"/>
            </w:tcBorders>
          </w:tcPr>
          <w:p w14:paraId="6CC93C62" w14:textId="4A08F29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Is 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CrCl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 xml:space="preserve"> &lt;40 mL/min?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4942846C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07F409D3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7F1E658C" w14:textId="4ABB2129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377CC64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33D4D601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EFEEB0B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C2AA611" w14:textId="44586A9D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2233C506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5AD099E2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40469AE2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30" w:type="dxa"/>
          </w:tcPr>
          <w:p w14:paraId="64A70300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60" w:type="dxa"/>
            <w:gridSpan w:val="3"/>
          </w:tcPr>
          <w:p w14:paraId="3BEDDA92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E303EBD" w14:textId="21D322E1" w:rsidR="00161E16" w:rsidRPr="0089520A" w:rsidRDefault="00161E16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75897134" w14:textId="544F5E66" w:rsidR="00161E16" w:rsidRPr="0089520A" w:rsidRDefault="00161E16" w:rsidP="00BA0879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360" w:type="dxa"/>
          </w:tcPr>
          <w:p w14:paraId="2F0F70A8" w14:textId="4DC0C777" w:rsidR="00161E16" w:rsidRPr="0089520A" w:rsidRDefault="00161E16" w:rsidP="004E0A46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360" w:type="dxa"/>
          </w:tcPr>
          <w:p w14:paraId="6A6C5814" w14:textId="3ABE1320" w:rsidR="00161E16" w:rsidRPr="0089520A" w:rsidRDefault="00161E16" w:rsidP="00BA0879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810" w:type="dxa"/>
            <w:gridSpan w:val="2"/>
          </w:tcPr>
          <w:p w14:paraId="08D31831" w14:textId="4C9FDD6A" w:rsidR="00161E16" w:rsidRPr="0089520A" w:rsidRDefault="00161E16" w:rsidP="00BA0879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720" w:type="dxa"/>
            <w:gridSpan w:val="2"/>
          </w:tcPr>
          <w:p w14:paraId="5B4B5AF5" w14:textId="690BE813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59B4B9EA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gridSpan w:val="3"/>
          </w:tcPr>
          <w:p w14:paraId="07B810EB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0" w:type="dxa"/>
            <w:gridSpan w:val="4"/>
          </w:tcPr>
          <w:p w14:paraId="7D5FB473" w14:textId="283B5852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152FCF2A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30130C22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1C1F4E53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10BB26C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20C4EEAC" w14:textId="6941E923" w:rsidTr="00CC038B">
        <w:tc>
          <w:tcPr>
            <w:tcW w:w="1725" w:type="dxa"/>
            <w:tcBorders>
              <w:right w:val="single" w:sz="18" w:space="0" w:color="auto"/>
            </w:tcBorders>
          </w:tcPr>
          <w:p w14:paraId="5E4F3E0D" w14:textId="39D131E8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Dose &gt; 20 mg/d?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63BBCFC0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2E38C2EE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210C7196" w14:textId="382994A8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51D37E5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273CA33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14300F6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56E3A71" w14:textId="55BAFB2E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25266ADD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4BE5346E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40C4CC71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30" w:type="dxa"/>
          </w:tcPr>
          <w:p w14:paraId="1697D96A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60" w:type="dxa"/>
            <w:gridSpan w:val="3"/>
          </w:tcPr>
          <w:p w14:paraId="05F4E6A5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208D2C1B" w14:textId="118A6943" w:rsidR="00161E16" w:rsidRPr="0089520A" w:rsidRDefault="00161E16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7F73F185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1FEA8EF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CC07434" w14:textId="02794953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13B8E194" w14:textId="49EF46B6" w:rsidR="00161E16" w:rsidRPr="0089520A" w:rsidRDefault="00161E16" w:rsidP="00A47C7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360" w:type="dxa"/>
          </w:tcPr>
          <w:p w14:paraId="39081B44" w14:textId="27080CBF" w:rsidR="00161E16" w:rsidRPr="0089520A" w:rsidRDefault="00161E16" w:rsidP="00BA0879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720" w:type="dxa"/>
            <w:gridSpan w:val="2"/>
          </w:tcPr>
          <w:p w14:paraId="41189122" w14:textId="752C2158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71F1259D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gridSpan w:val="3"/>
          </w:tcPr>
          <w:p w14:paraId="57949EC5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0" w:type="dxa"/>
            <w:gridSpan w:val="4"/>
          </w:tcPr>
          <w:p w14:paraId="75B6610F" w14:textId="6E69454D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3DC1AD1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466D2C07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74329663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099DA67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1CC72875" w14:textId="39363864" w:rsidTr="00CC038B">
        <w:tc>
          <w:tcPr>
            <w:tcW w:w="1725" w:type="dxa"/>
            <w:tcBorders>
              <w:right w:val="single" w:sz="18" w:space="0" w:color="auto"/>
            </w:tcBorders>
          </w:tcPr>
          <w:p w14:paraId="3E050C6F" w14:textId="0293DA66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Dose &gt; 300 μg/kg/mL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0F7ACD24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C6BA08E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62BAD0E5" w14:textId="529AEC64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335FCDF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165326A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B9282CF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3ECC17A" w14:textId="4CD8932A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63DA1688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0A2326E7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5A1502C7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30" w:type="dxa"/>
          </w:tcPr>
          <w:p w14:paraId="214C2982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60" w:type="dxa"/>
            <w:gridSpan w:val="3"/>
          </w:tcPr>
          <w:p w14:paraId="736082CF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7B31848E" w14:textId="51F30701" w:rsidR="00161E16" w:rsidRPr="0089520A" w:rsidRDefault="00161E16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157CAFF0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24863A5F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128E2C7" w14:textId="519D8F10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5A3A21A4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1CFCCA2" w14:textId="77777777" w:rsidR="00161E16" w:rsidRPr="0089520A" w:rsidRDefault="00161E16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CF94BAC" w14:textId="7D2E1EDE" w:rsidR="00161E16" w:rsidRPr="0089520A" w:rsidRDefault="00161E16" w:rsidP="002A1478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360" w:type="dxa"/>
          </w:tcPr>
          <w:p w14:paraId="7209C9BA" w14:textId="54ED044E" w:rsidR="00161E16" w:rsidRPr="0089520A" w:rsidRDefault="00161E16" w:rsidP="002A1478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360" w:type="dxa"/>
          </w:tcPr>
          <w:p w14:paraId="5CB5EB03" w14:textId="77777777" w:rsidR="00161E16" w:rsidRPr="0089520A" w:rsidRDefault="00161E16" w:rsidP="002A1478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gridSpan w:val="3"/>
          </w:tcPr>
          <w:p w14:paraId="54AEAA5D" w14:textId="77777777" w:rsidR="00161E16" w:rsidRPr="0089520A" w:rsidRDefault="00161E16" w:rsidP="002A1478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0" w:type="dxa"/>
            <w:gridSpan w:val="4"/>
          </w:tcPr>
          <w:p w14:paraId="5C33BC1C" w14:textId="6FD4E052" w:rsidR="00161E16" w:rsidRPr="0089520A" w:rsidRDefault="00161E16" w:rsidP="002A1478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1390C9F" w14:textId="77777777" w:rsidR="00161E16" w:rsidRPr="0089520A" w:rsidRDefault="00161E16" w:rsidP="002A1478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729ED32F" w14:textId="77777777" w:rsidR="00161E16" w:rsidRPr="0089520A" w:rsidRDefault="00161E16" w:rsidP="002A1478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17F2D829" w14:textId="77777777" w:rsidR="00161E16" w:rsidRPr="0089520A" w:rsidRDefault="00161E16" w:rsidP="002A1478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01E3056" w14:textId="77777777" w:rsidR="00161E16" w:rsidRPr="0089520A" w:rsidRDefault="00161E16" w:rsidP="002A1478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42A97571" w14:textId="5655EB0B" w:rsidTr="00CC038B">
        <w:tc>
          <w:tcPr>
            <w:tcW w:w="1725" w:type="dxa"/>
            <w:tcBorders>
              <w:right w:val="single" w:sz="18" w:space="0" w:color="auto"/>
            </w:tcBorders>
          </w:tcPr>
          <w:p w14:paraId="1F67E0C1" w14:textId="61E6DA80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Is patient CYP2D6 PM?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653698AD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2B187AA5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6F261431" w14:textId="67FB3476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70A4744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49FF6F3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5E6F38A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2E191F7" w14:textId="535F9BC0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5B2E5A1D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62A5BA49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0970A577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30" w:type="dxa"/>
          </w:tcPr>
          <w:p w14:paraId="319407C5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578C7DC3" w14:textId="2D2AFC47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810" w:type="dxa"/>
            <w:gridSpan w:val="2"/>
          </w:tcPr>
          <w:p w14:paraId="538676D9" w14:textId="651D06DC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360" w:type="dxa"/>
          </w:tcPr>
          <w:p w14:paraId="4A34E703" w14:textId="2A853672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138322E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33A472C3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416E1FA" w14:textId="30727FFA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64988A61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3999F3FA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4C54BD6" w14:textId="5FA0DF0E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2A5C2D3D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1A7B7EAE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7B5DC2D2" w14:textId="705941E7" w:rsidR="00F26850" w:rsidRPr="0089520A" w:rsidRDefault="00F26850" w:rsidP="00A47C7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630" w:type="dxa"/>
            <w:gridSpan w:val="2"/>
          </w:tcPr>
          <w:p w14:paraId="5CF411B6" w14:textId="5DF77251" w:rsidR="00F26850" w:rsidRPr="0089520A" w:rsidRDefault="00F26850" w:rsidP="002A1478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360" w:type="dxa"/>
          </w:tcPr>
          <w:p w14:paraId="56A08946" w14:textId="6B8B695D" w:rsidR="00F26850" w:rsidRPr="0089520A" w:rsidRDefault="00F26850" w:rsidP="00A47C7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1080" w:type="dxa"/>
            <w:gridSpan w:val="3"/>
          </w:tcPr>
          <w:p w14:paraId="0882D855" w14:textId="53DB4AF8" w:rsidR="00F26850" w:rsidRPr="0089520A" w:rsidRDefault="00F26850" w:rsidP="000E35F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720" w:type="dxa"/>
            <w:gridSpan w:val="2"/>
          </w:tcPr>
          <w:p w14:paraId="0026981B" w14:textId="6F220E13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44B470D4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3B970ED5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926EA13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4194CFB5" w14:textId="09625CE8" w:rsidTr="00CC038B">
        <w:tc>
          <w:tcPr>
            <w:tcW w:w="1725" w:type="dxa"/>
            <w:tcBorders>
              <w:right w:val="single" w:sz="18" w:space="0" w:color="auto"/>
            </w:tcBorders>
          </w:tcPr>
          <w:p w14:paraId="7A0B392D" w14:textId="046215E2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Patient taking a CYP2D6 inhibitor? 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6BCCC888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77777A6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1B9D7E58" w14:textId="6525D55F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50DC761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B727E42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5078F2F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404A75A" w14:textId="675CFA9F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0E4409E4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2C980503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5CC2A41F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30" w:type="dxa"/>
          </w:tcPr>
          <w:p w14:paraId="1EEB4EBF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1F838368" w14:textId="77777777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02F6CC7F" w14:textId="23108743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360" w:type="dxa"/>
          </w:tcPr>
          <w:p w14:paraId="7FE06C96" w14:textId="2C5063C7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360" w:type="dxa"/>
          </w:tcPr>
          <w:p w14:paraId="75DFE0E1" w14:textId="3E8E9B16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122462E9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52B281C4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0B57B66" w14:textId="129E01AA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3E9903B6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3B21861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174E933" w14:textId="3B31E1D9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20B497BA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27CA266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42F539A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E5AAE69" w14:textId="78E98485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270" w:type="dxa"/>
          </w:tcPr>
          <w:p w14:paraId="1D0F077D" w14:textId="34DDF298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360" w:type="dxa"/>
          </w:tcPr>
          <w:p w14:paraId="6C3D068B" w14:textId="1CC3C2A5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3FAB65D6" w14:textId="1ED7E33D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720" w:type="dxa"/>
            <w:gridSpan w:val="2"/>
          </w:tcPr>
          <w:p w14:paraId="33FAA707" w14:textId="23594055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720" w:type="dxa"/>
            <w:gridSpan w:val="2"/>
          </w:tcPr>
          <w:p w14:paraId="6BCF7981" w14:textId="4127EEA2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37FF9279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4B6E7669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D92F5F8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34693A2A" w14:textId="6688C9DF" w:rsidTr="00CC038B">
        <w:tc>
          <w:tcPr>
            <w:tcW w:w="1725" w:type="dxa"/>
            <w:tcBorders>
              <w:right w:val="single" w:sz="18" w:space="0" w:color="auto"/>
            </w:tcBorders>
          </w:tcPr>
          <w:p w14:paraId="04F12C72" w14:textId="12E865C4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Dose &gt; 10 mg/d?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757A7EA8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CFE5C40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3342D526" w14:textId="3D3608DA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71D87D4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99A1967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25B6D26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5F7F470" w14:textId="655D2B85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1BC937E7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48F4C3FD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692C59B2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30" w:type="dxa"/>
          </w:tcPr>
          <w:p w14:paraId="73C7EF86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2CBEF228" w14:textId="77777777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2BE1E254" w14:textId="77777777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1369F00F" w14:textId="77777777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5F89C1C" w14:textId="77C9CA7C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3EE4A74F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1C9676A7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A0DFCD9" w14:textId="45CE7620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296F39DD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77E7540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10A3BBF" w14:textId="1EE6635C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8318EEF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15D222AA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53DED0C5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2954FF26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0" w:type="dxa"/>
          </w:tcPr>
          <w:p w14:paraId="6396D3CD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40C11CA" w14:textId="657F9BDD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7C797C8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5BEBE4DA" w14:textId="3205B18E" w:rsidR="00F26850" w:rsidRPr="0089520A" w:rsidRDefault="00F26850" w:rsidP="00A47C7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360" w:type="dxa"/>
          </w:tcPr>
          <w:p w14:paraId="023E33C2" w14:textId="47FE3ADB" w:rsidR="00F26850" w:rsidRPr="0089520A" w:rsidRDefault="00F26850" w:rsidP="00A47C7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720" w:type="dxa"/>
            <w:gridSpan w:val="2"/>
          </w:tcPr>
          <w:p w14:paraId="206BE34D" w14:textId="59613BC1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222E7DF5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7B001AB5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8B54BBA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22EF7CD3" w14:textId="4D95F47C" w:rsidTr="00CC038B">
        <w:tc>
          <w:tcPr>
            <w:tcW w:w="1725" w:type="dxa"/>
            <w:tcBorders>
              <w:right w:val="single" w:sz="18" w:space="0" w:color="auto"/>
            </w:tcBorders>
          </w:tcPr>
          <w:p w14:paraId="0A88396E" w14:textId="7B6D1E87" w:rsidR="00F26850" w:rsidRPr="0089520A" w:rsidRDefault="007E7C4C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Dose 20mg</w:t>
            </w:r>
            <w:r w:rsidR="00F26850">
              <w:rPr>
                <w:rFonts w:ascii="Calibri" w:hAnsi="Calibri"/>
                <w:sz w:val="16"/>
                <w:szCs w:val="16"/>
              </w:rPr>
              <w:t>/d</w:t>
            </w:r>
            <w:r>
              <w:rPr>
                <w:rFonts w:ascii="Calibri" w:hAnsi="Calibri"/>
                <w:sz w:val="16"/>
                <w:szCs w:val="16"/>
              </w:rPr>
              <w:t xml:space="preserve"> or more</w:t>
            </w:r>
            <w:r w:rsidR="00F26850">
              <w:rPr>
                <w:rFonts w:ascii="Calibri" w:hAnsi="Calibri"/>
                <w:sz w:val="16"/>
                <w:szCs w:val="16"/>
              </w:rPr>
              <w:t>?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51E62A55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3932266F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270FF79F" w14:textId="2525E0EA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AE09DBC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0266BDC5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8D78761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A9B4D41" w14:textId="50E0BDA0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243D9FEA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4751348D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2D9FE36B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30" w:type="dxa"/>
          </w:tcPr>
          <w:p w14:paraId="3A8590CE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60D5541C" w14:textId="77777777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1A59D94C" w14:textId="77777777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3EEE6193" w14:textId="77777777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67CE827" w14:textId="55D09B9B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8860BFE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2B4D3488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BE06233" w14:textId="12D25D2D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1CE04ABA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B4ABC7D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772BF99" w14:textId="6E0EDD3F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E3C579C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DF51FD6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95B014B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5F1ACCCB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0" w:type="dxa"/>
          </w:tcPr>
          <w:p w14:paraId="4452514E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141CC09" w14:textId="2C333A5A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32006F16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2CDA618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24E89FDB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F58EB44" w14:textId="6087D302" w:rsidR="00F26850" w:rsidRPr="0089520A" w:rsidRDefault="00F26850" w:rsidP="0041688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Y</w:t>
            </w:r>
          </w:p>
        </w:tc>
        <w:tc>
          <w:tcPr>
            <w:tcW w:w="360" w:type="dxa"/>
          </w:tcPr>
          <w:p w14:paraId="34E25761" w14:textId="4DFB0EED" w:rsidR="00F26850" w:rsidRPr="0089520A" w:rsidRDefault="00F26850" w:rsidP="0041688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1062AA38" w14:textId="12933845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5509A4D7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CD12266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5AE94CF2" w14:textId="7A52EDCA" w:rsidTr="00CC038B">
        <w:tc>
          <w:tcPr>
            <w:tcW w:w="1725" w:type="dxa"/>
            <w:tcBorders>
              <w:bottom w:val="single" w:sz="18" w:space="0" w:color="auto"/>
              <w:right w:val="single" w:sz="18" w:space="0" w:color="auto"/>
            </w:tcBorders>
          </w:tcPr>
          <w:p w14:paraId="25456AEC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73" w:type="dxa"/>
            <w:tcBorders>
              <w:bottom w:val="single" w:sz="18" w:space="0" w:color="auto"/>
              <w:right w:val="single" w:sz="4" w:space="0" w:color="auto"/>
            </w:tcBorders>
          </w:tcPr>
          <w:p w14:paraId="45DB31CC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18" w:space="0" w:color="auto"/>
              <w:right w:val="single" w:sz="4" w:space="0" w:color="auto"/>
            </w:tcBorders>
          </w:tcPr>
          <w:p w14:paraId="4E578EC9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323B91F" w14:textId="0EE04F86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18" w:space="0" w:color="auto"/>
            </w:tcBorders>
          </w:tcPr>
          <w:p w14:paraId="13655531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18" w:space="0" w:color="auto"/>
            </w:tcBorders>
          </w:tcPr>
          <w:p w14:paraId="35DB7CF7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18" w:space="0" w:color="auto"/>
            </w:tcBorders>
          </w:tcPr>
          <w:p w14:paraId="4586459A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18" w:space="0" w:color="auto"/>
            </w:tcBorders>
          </w:tcPr>
          <w:p w14:paraId="3C81CEDA" w14:textId="4F9295B6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1E7A7A4E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18" w:space="0" w:color="auto"/>
            </w:tcBorders>
          </w:tcPr>
          <w:p w14:paraId="1687958C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18" w:space="0" w:color="auto"/>
            </w:tcBorders>
          </w:tcPr>
          <w:p w14:paraId="4BA73B6D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8" w:space="0" w:color="auto"/>
            </w:tcBorders>
          </w:tcPr>
          <w:p w14:paraId="0334F669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18" w:space="0" w:color="auto"/>
            </w:tcBorders>
          </w:tcPr>
          <w:p w14:paraId="153C4474" w14:textId="77777777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18" w:space="0" w:color="auto"/>
            </w:tcBorders>
          </w:tcPr>
          <w:p w14:paraId="52CD6866" w14:textId="77777777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2E57B38B" w14:textId="77777777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2409AAD3" w14:textId="1C06076D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252A01BC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2B7707F8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078E2BE6" w14:textId="4397A3E3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18" w:space="0" w:color="auto"/>
            </w:tcBorders>
          </w:tcPr>
          <w:p w14:paraId="4C5280E3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20C5D602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20C37510" w14:textId="7CB7585D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393EE7CF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14674BB9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188DE94A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4BAFDC5A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18" w:space="0" w:color="auto"/>
            </w:tcBorders>
          </w:tcPr>
          <w:p w14:paraId="576B0B74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7F3BC340" w14:textId="2558B6D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4E050510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22E14381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5CDE1127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0F5DB7A7" w14:textId="3250B289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44574300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9A42DCF" w14:textId="450DFAB1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2DC59F6B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18" w:space="0" w:color="auto"/>
            </w:tcBorders>
          </w:tcPr>
          <w:p w14:paraId="5A795418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166FD87F" w14:textId="6C63C21E" w:rsidTr="00CC038B">
        <w:tc>
          <w:tcPr>
            <w:tcW w:w="1725" w:type="dxa"/>
            <w:tcBorders>
              <w:top w:val="single" w:sz="18" w:space="0" w:color="auto"/>
              <w:right w:val="single" w:sz="18" w:space="0" w:color="auto"/>
            </w:tcBorders>
          </w:tcPr>
          <w:p w14:paraId="1BFA16AD" w14:textId="2F43D14B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Acute hypertensive reaction is unlikely</w:t>
            </w:r>
          </w:p>
        </w:tc>
        <w:tc>
          <w:tcPr>
            <w:tcW w:w="673" w:type="dxa"/>
            <w:tcBorders>
              <w:top w:val="single" w:sz="18" w:space="0" w:color="auto"/>
              <w:right w:val="single" w:sz="4" w:space="0" w:color="auto"/>
            </w:tcBorders>
          </w:tcPr>
          <w:p w14:paraId="29083DF7" w14:textId="5B0CE11D" w:rsidR="00F26850" w:rsidRPr="009549BF" w:rsidRDefault="00F26850" w:rsidP="00B13EBD">
            <w:pPr>
              <w:spacing w:line="160" w:lineRule="exact"/>
              <w:jc w:val="center"/>
              <w:rPr>
                <w:rFonts w:ascii="Calibri" w:hAnsi="Calibri"/>
                <w:color w:val="20D71A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  <w:r w:rsidRPr="009549BF">
              <w:rPr>
                <w:rFonts w:ascii="Calibri" w:hAnsi="Calibri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single" w:sz="18" w:space="0" w:color="auto"/>
              <w:right w:val="single" w:sz="4" w:space="0" w:color="auto"/>
            </w:tcBorders>
          </w:tcPr>
          <w:p w14:paraId="755926A2" w14:textId="5858F1CA" w:rsidR="00F26850" w:rsidRPr="0089520A" w:rsidRDefault="00F26850" w:rsidP="00B13EBD">
            <w:pPr>
              <w:spacing w:line="160" w:lineRule="exact"/>
              <w:jc w:val="center"/>
              <w:rPr>
                <w:rFonts w:ascii="Wingdings" w:hAnsi="Wingdings"/>
                <w:color w:val="20D71A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  <w:r w:rsidRPr="009549BF">
              <w:rPr>
                <w:rFonts w:ascii="Calibri" w:hAnsi="Calibri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360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14:paraId="6444B600" w14:textId="626909EA" w:rsidR="00F26850" w:rsidRPr="009549BF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  <w:r w:rsidRPr="009549BF">
              <w:rPr>
                <w:rFonts w:ascii="Calibri" w:hAnsi="Calibri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360" w:type="dxa"/>
            <w:tcBorders>
              <w:top w:val="single" w:sz="18" w:space="0" w:color="auto"/>
              <w:left w:val="single" w:sz="4" w:space="0" w:color="auto"/>
            </w:tcBorders>
          </w:tcPr>
          <w:p w14:paraId="3B69D6BC" w14:textId="33EAE25C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  <w:r w:rsidRPr="009549BF">
              <w:rPr>
                <w:rFonts w:ascii="Calibri" w:hAnsi="Calibri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360" w:type="dxa"/>
            <w:tcBorders>
              <w:top w:val="single" w:sz="18" w:space="0" w:color="auto"/>
              <w:left w:val="single" w:sz="4" w:space="0" w:color="auto"/>
            </w:tcBorders>
          </w:tcPr>
          <w:p w14:paraId="3ED391BE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18" w:space="0" w:color="auto"/>
              <w:left w:val="single" w:sz="4" w:space="0" w:color="auto"/>
            </w:tcBorders>
          </w:tcPr>
          <w:p w14:paraId="3192CD88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18" w:space="0" w:color="auto"/>
            </w:tcBorders>
          </w:tcPr>
          <w:p w14:paraId="3B06FEF5" w14:textId="28AE8DDC" w:rsidR="00F26850" w:rsidRPr="0089520A" w:rsidRDefault="007C223A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  <w:r w:rsidR="00F26850">
              <w:rPr>
                <w:rFonts w:ascii="Calibri" w:hAnsi="Calibri"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129DF937" w14:textId="77777777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18" w:space="0" w:color="auto"/>
            </w:tcBorders>
          </w:tcPr>
          <w:p w14:paraId="4C357895" w14:textId="77777777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18" w:space="0" w:color="auto"/>
            </w:tcBorders>
          </w:tcPr>
          <w:p w14:paraId="5AEA93B1" w14:textId="77777777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18" w:space="0" w:color="auto"/>
            </w:tcBorders>
          </w:tcPr>
          <w:p w14:paraId="1FF1DDFB" w14:textId="1376F5FE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8</w:t>
            </w:r>
          </w:p>
        </w:tc>
        <w:tc>
          <w:tcPr>
            <w:tcW w:w="450" w:type="dxa"/>
            <w:tcBorders>
              <w:top w:val="single" w:sz="18" w:space="0" w:color="auto"/>
            </w:tcBorders>
          </w:tcPr>
          <w:p w14:paraId="024680C8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18" w:space="0" w:color="auto"/>
            </w:tcBorders>
          </w:tcPr>
          <w:p w14:paraId="72A6D359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5DE6962D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506A412F" w14:textId="43242D31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382E7F1D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50DBE15E" w14:textId="600A2AD3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7FC183A2" w14:textId="002970E0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18" w:space="0" w:color="auto"/>
            </w:tcBorders>
          </w:tcPr>
          <w:p w14:paraId="2525BF06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33075DCA" w14:textId="2FB897BB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309D6499" w14:textId="1CA9A40E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539281BE" w14:textId="04165046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5FED46E7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3B52FA6B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5F9811E2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18" w:space="0" w:color="auto"/>
            </w:tcBorders>
          </w:tcPr>
          <w:p w14:paraId="687FCBA8" w14:textId="309CC495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7D6C2C5B" w14:textId="50BFC89B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320CE947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7CB498A6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12FF55C9" w14:textId="0432172F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0B330BA9" w14:textId="550A9B94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18" w:space="0" w:color="auto"/>
            </w:tcBorders>
          </w:tcPr>
          <w:p w14:paraId="1B051084" w14:textId="3D072CA4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3D9C1929" w14:textId="6B49B7D4" w:rsidR="00F26850" w:rsidRPr="0089520A" w:rsidRDefault="00C435F7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20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0EB69E3C" w14:textId="1647F03F" w:rsidR="00F26850" w:rsidRPr="0089520A" w:rsidRDefault="00D5183D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21</w:t>
            </w:r>
          </w:p>
        </w:tc>
        <w:tc>
          <w:tcPr>
            <w:tcW w:w="1350" w:type="dxa"/>
            <w:tcBorders>
              <w:top w:val="single" w:sz="18" w:space="0" w:color="auto"/>
            </w:tcBorders>
          </w:tcPr>
          <w:p w14:paraId="4A1AF295" w14:textId="5F5D0559" w:rsidR="00F26850" w:rsidRPr="0089520A" w:rsidRDefault="00F26850" w:rsidP="00C46B53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2</w:t>
            </w:r>
            <w:r w:rsidR="00E848E7">
              <w:rPr>
                <w:rFonts w:ascii="Calibri" w:hAnsi="Calibri"/>
                <w:sz w:val="16"/>
                <w:szCs w:val="16"/>
                <w:vertAlign w:val="superscript"/>
              </w:rPr>
              <w:t>2</w:t>
            </w:r>
          </w:p>
        </w:tc>
      </w:tr>
      <w:tr w:rsidR="00C70E6F" w:rsidRPr="0089520A" w14:paraId="6A334DDD" w14:textId="162EED38" w:rsidTr="00CC038B">
        <w:tc>
          <w:tcPr>
            <w:tcW w:w="1725" w:type="dxa"/>
            <w:tcBorders>
              <w:right w:val="single" w:sz="18" w:space="0" w:color="auto"/>
            </w:tcBorders>
          </w:tcPr>
          <w:p w14:paraId="09E61F2A" w14:textId="63918286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Hypertensive reaction may occur, but benefit likely to outweigh risk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30FC72D1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49E95D2E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5C4651EB" w14:textId="782BF881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406A8E5B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B5937ED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5782FDED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0C17F0A" w14:textId="7AC7A146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7316DB1D" w14:textId="2543CE67" w:rsidR="00F26850" w:rsidRPr="0089520A" w:rsidRDefault="007C223A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20D71A"/>
                <w:sz w:val="16"/>
                <w:szCs w:val="16"/>
              </w:rPr>
              <w:t></w:t>
            </w:r>
            <w:r w:rsidR="00F26850">
              <w:rPr>
                <w:rFonts w:ascii="Calibri" w:hAnsi="Calibri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990" w:type="dxa"/>
          </w:tcPr>
          <w:p w14:paraId="035DF475" w14:textId="77777777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779A2ABB" w14:textId="77777777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30" w:type="dxa"/>
          </w:tcPr>
          <w:p w14:paraId="054DDD2E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2546CB8B" w14:textId="4F86F3CC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065C0B7A" w14:textId="5B45290D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CF7BA3F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3E5FF0C9" w14:textId="74DD6850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1E7E4043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2D125018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DE356A7" w14:textId="7859EE2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5A06B096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6D67056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520DEB5D" w14:textId="41326EEE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47F701B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181BD4C2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52E035E1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303EC744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0" w:type="dxa"/>
          </w:tcPr>
          <w:p w14:paraId="24F711D2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876403B" w14:textId="7C5005AF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57428B92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3763758B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35C32BAF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28BB85B2" w14:textId="134E1688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20F87F97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16D14A43" w14:textId="397036F1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1D0969B9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4F2E59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30FC942A" w14:textId="0713BF83" w:rsidTr="00CC038B">
        <w:tc>
          <w:tcPr>
            <w:tcW w:w="1725" w:type="dxa"/>
            <w:tcBorders>
              <w:right w:val="single" w:sz="18" w:space="0" w:color="auto"/>
            </w:tcBorders>
          </w:tcPr>
          <w:p w14:paraId="144654F8" w14:textId="51D3E6AF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Acute hypertensive reaction is likely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6D1F9010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602EB46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69367D37" w14:textId="18A89258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C6F4B14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2813E97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61626BC4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A6E9FFD" w14:textId="05FD4C3D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66E3656D" w14:textId="77777777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665E200E" w14:textId="546CAAAE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F0080"/>
                <w:sz w:val="16"/>
                <w:szCs w:val="16"/>
              </w:rPr>
              <w:t>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7</w:t>
            </w:r>
          </w:p>
        </w:tc>
        <w:tc>
          <w:tcPr>
            <w:tcW w:w="450" w:type="dxa"/>
          </w:tcPr>
          <w:p w14:paraId="08E1D2E1" w14:textId="5DBFC59F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F0080"/>
                <w:sz w:val="16"/>
                <w:szCs w:val="16"/>
              </w:rPr>
              <w:t>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7</w:t>
            </w:r>
          </w:p>
        </w:tc>
        <w:tc>
          <w:tcPr>
            <w:tcW w:w="630" w:type="dxa"/>
          </w:tcPr>
          <w:p w14:paraId="6E31094C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67072B5B" w14:textId="6AD69168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F0080"/>
                <w:sz w:val="16"/>
                <w:szCs w:val="16"/>
              </w:rPr>
              <w:t></w:t>
            </w:r>
            <w:r w:rsidR="00C435F7">
              <w:rPr>
                <w:rFonts w:ascii="Calibri" w:hAnsi="Calibri"/>
                <w:sz w:val="16"/>
                <w:szCs w:val="16"/>
                <w:vertAlign w:val="superscript"/>
              </w:rPr>
              <w:t>23</w:t>
            </w:r>
          </w:p>
        </w:tc>
        <w:tc>
          <w:tcPr>
            <w:tcW w:w="450" w:type="dxa"/>
          </w:tcPr>
          <w:p w14:paraId="006AAE3F" w14:textId="2C883742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F0080"/>
                <w:sz w:val="16"/>
                <w:szCs w:val="16"/>
              </w:rPr>
              <w:t></w:t>
            </w:r>
            <w:r w:rsidR="00A309F2">
              <w:rPr>
                <w:rFonts w:ascii="Calibri" w:hAnsi="Calibri"/>
                <w:sz w:val="16"/>
                <w:szCs w:val="16"/>
                <w:vertAlign w:val="superscript"/>
              </w:rPr>
              <w:t>2</w:t>
            </w:r>
            <w:r w:rsidR="00C435F7">
              <w:rPr>
                <w:rFonts w:ascii="Calibri" w:hAnsi="Calibri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360" w:type="dxa"/>
          </w:tcPr>
          <w:p w14:paraId="2BCB43EC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353D7ED7" w14:textId="6AADE230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3B87516C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B9512C7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5E7B5C79" w14:textId="7AE2D868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4442DE0F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E62750A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24485D9C" w14:textId="03F0F7E3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28AEF3EC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1A8EA1C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836A098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B8692EE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0" w:type="dxa"/>
          </w:tcPr>
          <w:p w14:paraId="281C971B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28806B10" w14:textId="786A7BCE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7DF7E826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3804ABE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7675F370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5168E9B4" w14:textId="38A6EA44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8711278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42AED649" w14:textId="6F7A7896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0FCEA9A2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BA6BEA7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44BF382C" w14:textId="5CF29A52" w:rsidTr="00CC038B">
        <w:tc>
          <w:tcPr>
            <w:tcW w:w="1725" w:type="dxa"/>
            <w:tcBorders>
              <w:right w:val="single" w:sz="18" w:space="0" w:color="auto"/>
            </w:tcBorders>
          </w:tcPr>
          <w:p w14:paraId="132C2880" w14:textId="1DAB647C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Calibri" w:hAnsi="Calibri"/>
                <w:sz w:val="16"/>
                <w:szCs w:val="16"/>
              </w:rPr>
              <w:t>Acute hypertensive reaction is possible</w:t>
            </w:r>
          </w:p>
        </w:tc>
        <w:tc>
          <w:tcPr>
            <w:tcW w:w="673" w:type="dxa"/>
            <w:tcBorders>
              <w:right w:val="single" w:sz="4" w:space="0" w:color="auto"/>
            </w:tcBorders>
          </w:tcPr>
          <w:p w14:paraId="20EAAB58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2B82268E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14:paraId="201A7D29" w14:textId="0908A3D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99CCE42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10A9643" w14:textId="3EF5F0C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2890F2F3" w14:textId="2218209A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1080" w:type="dxa"/>
          </w:tcPr>
          <w:p w14:paraId="33404C63" w14:textId="1C4545BC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416AC47B" w14:textId="77777777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38466352" w14:textId="77777777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03FA1D29" w14:textId="77777777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30" w:type="dxa"/>
          </w:tcPr>
          <w:p w14:paraId="3793FD63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6A6BD32C" w14:textId="2147C45F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</w:tcPr>
          <w:p w14:paraId="58DF46A0" w14:textId="56E85EC9" w:rsidR="00F26850" w:rsidRPr="0089520A" w:rsidRDefault="00F26850" w:rsidP="00F26850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16FD5B5B" w14:textId="5B5B4163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8</w:t>
            </w:r>
          </w:p>
        </w:tc>
        <w:tc>
          <w:tcPr>
            <w:tcW w:w="360" w:type="dxa"/>
          </w:tcPr>
          <w:p w14:paraId="5E18CA54" w14:textId="20708079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9</w:t>
            </w:r>
          </w:p>
        </w:tc>
        <w:tc>
          <w:tcPr>
            <w:tcW w:w="360" w:type="dxa"/>
          </w:tcPr>
          <w:p w14:paraId="3231220B" w14:textId="3B59C179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360" w:type="dxa"/>
          </w:tcPr>
          <w:p w14:paraId="70E429E2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C616A4B" w14:textId="612B46FD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450" w:type="dxa"/>
          </w:tcPr>
          <w:p w14:paraId="042BD8E2" w14:textId="7D264C49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11</w:t>
            </w:r>
          </w:p>
        </w:tc>
        <w:tc>
          <w:tcPr>
            <w:tcW w:w="360" w:type="dxa"/>
          </w:tcPr>
          <w:p w14:paraId="0A4E161C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2C5B8FB" w14:textId="24AAF8E3" w:rsidR="00F26850" w:rsidRPr="0089520A" w:rsidRDefault="00F26850" w:rsidP="00A47C7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12</w:t>
            </w:r>
          </w:p>
        </w:tc>
        <w:tc>
          <w:tcPr>
            <w:tcW w:w="360" w:type="dxa"/>
          </w:tcPr>
          <w:p w14:paraId="3953E98F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0099586E" w14:textId="78B03F4D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13</w:t>
            </w:r>
          </w:p>
        </w:tc>
        <w:tc>
          <w:tcPr>
            <w:tcW w:w="360" w:type="dxa"/>
          </w:tcPr>
          <w:p w14:paraId="5987EEF4" w14:textId="51CBFEEF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14</w:t>
            </w:r>
          </w:p>
        </w:tc>
        <w:tc>
          <w:tcPr>
            <w:tcW w:w="360" w:type="dxa"/>
          </w:tcPr>
          <w:p w14:paraId="1B13E6B1" w14:textId="00D459E6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15</w:t>
            </w:r>
          </w:p>
        </w:tc>
        <w:tc>
          <w:tcPr>
            <w:tcW w:w="270" w:type="dxa"/>
          </w:tcPr>
          <w:p w14:paraId="409E7A51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44ADF439" w14:textId="4DE21183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16</w:t>
            </w:r>
          </w:p>
        </w:tc>
        <w:tc>
          <w:tcPr>
            <w:tcW w:w="360" w:type="dxa"/>
          </w:tcPr>
          <w:p w14:paraId="28E0782B" w14:textId="115EDD1B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17</w:t>
            </w:r>
          </w:p>
        </w:tc>
        <w:tc>
          <w:tcPr>
            <w:tcW w:w="360" w:type="dxa"/>
          </w:tcPr>
          <w:p w14:paraId="7A575EC1" w14:textId="395CB8F6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18</w:t>
            </w:r>
          </w:p>
        </w:tc>
        <w:tc>
          <w:tcPr>
            <w:tcW w:w="360" w:type="dxa"/>
          </w:tcPr>
          <w:p w14:paraId="663B9572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</w:tcPr>
          <w:p w14:paraId="69B14E52" w14:textId="2054F410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  <w:r w:rsidRPr="0089520A">
              <w:rPr>
                <w:rFonts w:ascii="Wingdings" w:hAnsi="Wingdings"/>
                <w:color w:val="FCC00A"/>
                <w:sz w:val="16"/>
                <w:szCs w:val="16"/>
              </w:rPr>
              <w:t></w:t>
            </w:r>
            <w:r>
              <w:rPr>
                <w:rFonts w:ascii="Calibri" w:hAnsi="Calibri"/>
                <w:sz w:val="16"/>
                <w:szCs w:val="16"/>
                <w:vertAlign w:val="superscript"/>
              </w:rPr>
              <w:t>19</w:t>
            </w:r>
          </w:p>
        </w:tc>
        <w:tc>
          <w:tcPr>
            <w:tcW w:w="360" w:type="dxa"/>
          </w:tcPr>
          <w:p w14:paraId="3B4A3B2A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3A911F8D" w14:textId="061E2C9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1E6472C3" w14:textId="60D8703C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2172224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  <w:tr w:rsidR="00C70E6F" w:rsidRPr="0089520A" w14:paraId="4EDA7EEB" w14:textId="05979CC1" w:rsidTr="00CC038B">
        <w:tc>
          <w:tcPr>
            <w:tcW w:w="1725" w:type="dxa"/>
            <w:tcBorders>
              <w:bottom w:val="single" w:sz="4" w:space="0" w:color="auto"/>
              <w:right w:val="single" w:sz="18" w:space="0" w:color="auto"/>
            </w:tcBorders>
          </w:tcPr>
          <w:p w14:paraId="03DA5ECD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73" w:type="dxa"/>
            <w:tcBorders>
              <w:bottom w:val="single" w:sz="4" w:space="0" w:color="auto"/>
              <w:right w:val="single" w:sz="4" w:space="0" w:color="auto"/>
            </w:tcBorders>
          </w:tcPr>
          <w:p w14:paraId="11CD8F0F" w14:textId="77777777" w:rsidR="00F26850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</w:tcPr>
          <w:p w14:paraId="75E913E5" w14:textId="77777777" w:rsidR="00F26850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995D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64AC36A1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1862FAB4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53BA7C3F" w14:textId="77777777" w:rsidR="00F26850" w:rsidRPr="0089520A" w:rsidRDefault="00F26850" w:rsidP="00333293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CCF7C25" w14:textId="72B98F47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42D6D8" w14:textId="77777777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37920FB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45592DAF" w14:textId="77777777" w:rsidR="00F26850" w:rsidRPr="0089520A" w:rsidRDefault="00F26850" w:rsidP="0089520A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B0E39D2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05B7D67B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0123FC44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F90AD2D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125ADF1A" w14:textId="42B89DF6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55E40F84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3575357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15F88C93" w14:textId="68A2A9C2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3373ADBC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717D1E8A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1402B39" w14:textId="006D059E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25C49044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8C6EC61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1EE2C3B0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79D8467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71DD5D1C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25860BDE" w14:textId="04E21F74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19162564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4DA655B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D9C5863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B984886" w14:textId="14989BC4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276026D2" w14:textId="77777777" w:rsidR="00F26850" w:rsidRPr="0089520A" w:rsidRDefault="00F26850" w:rsidP="00F570DE">
            <w:pPr>
              <w:spacing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D348D1" w14:textId="0AFD02C6" w:rsidR="00F26850" w:rsidRPr="0089520A" w:rsidRDefault="00F26850" w:rsidP="00F570DE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81CC8F" w14:textId="77777777" w:rsidR="00F26850" w:rsidRPr="0089520A" w:rsidRDefault="00F26850" w:rsidP="00F570DE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654CF1" w14:textId="77777777" w:rsidR="00F26850" w:rsidRPr="0089520A" w:rsidRDefault="00F26850" w:rsidP="0089520A">
            <w:pPr>
              <w:spacing w:line="160" w:lineRule="exact"/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EADAF85" w14:textId="77777777" w:rsidR="000E35FE" w:rsidRDefault="000E35FE" w:rsidP="000E35FE">
      <w:pPr>
        <w:rPr>
          <w:rFonts w:ascii="Calibri" w:hAnsi="Calibri"/>
          <w:sz w:val="18"/>
          <w:szCs w:val="18"/>
        </w:rPr>
      </w:pPr>
      <w:r w:rsidRPr="008D4364">
        <w:rPr>
          <w:rFonts w:ascii="Wingdings" w:hAnsi="Wingdings"/>
          <w:color w:val="20D71A"/>
          <w:sz w:val="18"/>
          <w:szCs w:val="18"/>
        </w:rPr>
        <w:t></w:t>
      </w:r>
      <w:r>
        <w:rPr>
          <w:rFonts w:ascii="Calibri" w:hAnsi="Calibri"/>
          <w:color w:val="20D71A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 xml:space="preserve">= No special precautions.  </w:t>
      </w:r>
      <w:r>
        <w:rPr>
          <w:rFonts w:ascii="Calibri" w:hAnsi="Calibri"/>
          <w:color w:val="20D71A"/>
          <w:sz w:val="18"/>
          <w:szCs w:val="18"/>
        </w:rPr>
        <w:t xml:space="preserve"> </w:t>
      </w:r>
      <w:r w:rsidRPr="00D131AB">
        <w:rPr>
          <w:rFonts w:ascii="Wingdings" w:hAnsi="Wingdings"/>
          <w:color w:val="FCC00A"/>
          <w:sz w:val="18"/>
          <w:szCs w:val="18"/>
        </w:rPr>
        <w:t></w:t>
      </w:r>
      <w:r w:rsidRPr="00F04171">
        <w:rPr>
          <w:rFonts w:ascii="Calibri" w:hAnsi="Calibri"/>
          <w:sz w:val="18"/>
          <w:szCs w:val="18"/>
        </w:rPr>
        <w:t xml:space="preserve"> = Assess </w:t>
      </w:r>
      <w:r>
        <w:rPr>
          <w:rFonts w:ascii="Calibri" w:hAnsi="Calibri"/>
          <w:sz w:val="18"/>
          <w:szCs w:val="18"/>
        </w:rPr>
        <w:t>risk and take action if necessary.</w:t>
      </w:r>
      <w:proofErr w:type="gramStart"/>
      <w:r w:rsidRPr="00F04171">
        <w:rPr>
          <w:rFonts w:ascii="Calibri" w:hAnsi="Calibri"/>
          <w:color w:val="FF0080"/>
          <w:sz w:val="18"/>
          <w:szCs w:val="18"/>
        </w:rPr>
        <w:t></w:t>
      </w:r>
      <w:r>
        <w:rPr>
          <w:rFonts w:ascii="Calibri" w:hAnsi="Calibri"/>
          <w:color w:val="FF0080"/>
          <w:sz w:val="18"/>
          <w:szCs w:val="18"/>
        </w:rPr>
        <w:t xml:space="preserve">  </w:t>
      </w:r>
      <w:r>
        <w:rPr>
          <w:rFonts w:ascii="Wingdings" w:hAnsi="Wingdings"/>
          <w:color w:val="FF0080"/>
          <w:sz w:val="18"/>
          <w:szCs w:val="18"/>
        </w:rPr>
        <w:t></w:t>
      </w:r>
      <w:proofErr w:type="gramEnd"/>
      <w:r w:rsidRPr="00F04171">
        <w:rPr>
          <w:rFonts w:ascii="Calibri" w:hAnsi="Calibri"/>
          <w:sz w:val="18"/>
          <w:szCs w:val="18"/>
        </w:rPr>
        <w:t xml:space="preserve"> =</w:t>
      </w:r>
      <w:r>
        <w:rPr>
          <w:rFonts w:ascii="Calibri" w:hAnsi="Calibri"/>
          <w:sz w:val="18"/>
          <w:szCs w:val="18"/>
        </w:rPr>
        <w:t xml:space="preserve"> Use only if benefit outweighs risk</w:t>
      </w:r>
    </w:p>
    <w:p w14:paraId="2B45AD90" w14:textId="77777777" w:rsidR="00C46B53" w:rsidRDefault="00C46B53" w:rsidP="000E35FE">
      <w:pPr>
        <w:rPr>
          <w:rFonts w:ascii="Calibri" w:hAnsi="Calibri"/>
          <w:sz w:val="18"/>
          <w:szCs w:val="18"/>
        </w:rPr>
      </w:pPr>
    </w:p>
    <w:p w14:paraId="68C22090" w14:textId="3D33D506" w:rsidR="00333293" w:rsidRPr="00C46B53" w:rsidRDefault="00C46B53" w:rsidP="00091411">
      <w:pPr>
        <w:rPr>
          <w:rFonts w:ascii="Calibri" w:hAnsi="Calibri"/>
          <w:b/>
          <w:sz w:val="18"/>
          <w:szCs w:val="18"/>
        </w:rPr>
        <w:sectPr w:rsidR="00333293" w:rsidRPr="00C46B53" w:rsidSect="00D042D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4480" w:h="15840" w:orient="landscape"/>
          <w:pgMar w:top="936" w:right="936" w:bottom="936" w:left="936" w:header="720" w:footer="720" w:gutter="0"/>
          <w:cols w:space="720"/>
          <w:docGrid w:linePitch="360"/>
        </w:sectPr>
      </w:pPr>
      <w:r w:rsidRPr="00C46B53">
        <w:rPr>
          <w:rFonts w:ascii="Calibri" w:hAnsi="Calibri"/>
          <w:b/>
          <w:sz w:val="18"/>
          <w:szCs w:val="18"/>
        </w:rPr>
        <w:t>Footnotes:</w:t>
      </w:r>
    </w:p>
    <w:p w14:paraId="56D1C675" w14:textId="5DD1F766" w:rsidR="00B13EBD" w:rsidRPr="00B13EBD" w:rsidRDefault="00333293" w:rsidP="00D5183D">
      <w:pPr>
        <w:ind w:left="144" w:hanging="144"/>
        <w:rPr>
          <w:rFonts w:ascii="Calibri" w:hAnsi="Calibri"/>
          <w:sz w:val="16"/>
          <w:szCs w:val="16"/>
        </w:rPr>
      </w:pPr>
      <w:r w:rsidRPr="00B13EBD">
        <w:rPr>
          <w:rFonts w:ascii="Calibri" w:hAnsi="Calibri"/>
          <w:sz w:val="16"/>
          <w:szCs w:val="16"/>
        </w:rPr>
        <w:lastRenderedPageBreak/>
        <w:t xml:space="preserve">1. </w:t>
      </w:r>
      <w:r w:rsidR="00B13EBD" w:rsidRPr="00B13EBD">
        <w:rPr>
          <w:rFonts w:ascii="Calibri" w:hAnsi="Calibri"/>
          <w:sz w:val="16"/>
          <w:szCs w:val="16"/>
        </w:rPr>
        <w:t xml:space="preserve">Inhaled </w:t>
      </w:r>
      <w:r w:rsidR="009549BF">
        <w:rPr>
          <w:rFonts w:ascii="Calibri" w:hAnsi="Calibri"/>
          <w:sz w:val="16"/>
          <w:szCs w:val="16"/>
        </w:rPr>
        <w:t xml:space="preserve">or ophthalmic </w:t>
      </w:r>
      <w:r w:rsidR="00B13EBD" w:rsidRPr="00B13EBD">
        <w:rPr>
          <w:rFonts w:ascii="Calibri" w:hAnsi="Calibri"/>
          <w:sz w:val="16"/>
          <w:szCs w:val="16"/>
        </w:rPr>
        <w:t>epinephrine can sometimes produce systemic effects</w:t>
      </w:r>
      <w:r w:rsidR="00B13EBD">
        <w:rPr>
          <w:rFonts w:ascii="Calibri" w:hAnsi="Calibri"/>
          <w:sz w:val="16"/>
          <w:szCs w:val="16"/>
        </w:rPr>
        <w:t>,</w:t>
      </w:r>
      <w:r w:rsidR="00B13EBD" w:rsidRPr="00B13EBD">
        <w:rPr>
          <w:rFonts w:ascii="Calibri" w:hAnsi="Calibri"/>
          <w:sz w:val="16"/>
          <w:szCs w:val="16"/>
        </w:rPr>
        <w:t xml:space="preserve"> but </w:t>
      </w:r>
      <w:r w:rsidR="00B13EBD">
        <w:rPr>
          <w:rFonts w:ascii="Calibri" w:hAnsi="Calibri"/>
          <w:sz w:val="16"/>
          <w:szCs w:val="16"/>
        </w:rPr>
        <w:t>it does not seem likely that it would result in a significant hypertensive reaction.</w:t>
      </w:r>
    </w:p>
    <w:p w14:paraId="54FAB265" w14:textId="6F8EC344" w:rsidR="009549BF" w:rsidRDefault="009549BF" w:rsidP="00AE0BAF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2. </w:t>
      </w:r>
      <w:r w:rsidR="00333293" w:rsidRPr="00B13EBD">
        <w:rPr>
          <w:rFonts w:ascii="Calibri" w:hAnsi="Calibri"/>
          <w:sz w:val="16"/>
          <w:szCs w:val="16"/>
        </w:rPr>
        <w:t xml:space="preserve">Epinephrine is often combined with local anesthetics to prolong the effect of the anesthetic. The amount used in </w:t>
      </w:r>
      <w:r>
        <w:rPr>
          <w:rFonts w:ascii="Calibri" w:hAnsi="Calibri"/>
          <w:sz w:val="16"/>
          <w:szCs w:val="16"/>
        </w:rPr>
        <w:t xml:space="preserve">routine </w:t>
      </w:r>
      <w:r w:rsidR="00333293" w:rsidRPr="00B13EBD">
        <w:rPr>
          <w:rFonts w:ascii="Calibri" w:hAnsi="Calibri"/>
          <w:sz w:val="16"/>
          <w:szCs w:val="16"/>
        </w:rPr>
        <w:t>dental</w:t>
      </w:r>
      <w:r>
        <w:rPr>
          <w:rFonts w:ascii="Calibri" w:hAnsi="Calibri"/>
          <w:sz w:val="16"/>
          <w:szCs w:val="16"/>
        </w:rPr>
        <w:t xml:space="preserve"> procedures</w:t>
      </w:r>
      <w:r w:rsidR="00333293" w:rsidRPr="00B13EBD">
        <w:rPr>
          <w:rFonts w:ascii="Calibri" w:hAnsi="Calibri"/>
          <w:sz w:val="16"/>
          <w:szCs w:val="16"/>
        </w:rPr>
        <w:t xml:space="preserve"> or </w:t>
      </w:r>
      <w:r>
        <w:rPr>
          <w:rFonts w:ascii="Calibri" w:hAnsi="Calibri"/>
          <w:sz w:val="16"/>
          <w:szCs w:val="16"/>
        </w:rPr>
        <w:t xml:space="preserve">in </w:t>
      </w:r>
      <w:r w:rsidR="00333293" w:rsidRPr="00B13EBD">
        <w:rPr>
          <w:rFonts w:ascii="Calibri" w:hAnsi="Calibri"/>
          <w:sz w:val="16"/>
          <w:szCs w:val="16"/>
        </w:rPr>
        <w:t xml:space="preserve">dermatologic practice (e.g., </w:t>
      </w:r>
      <w:proofErr w:type="spellStart"/>
      <w:r w:rsidR="00333293" w:rsidRPr="00B13EBD">
        <w:rPr>
          <w:rFonts w:ascii="Calibri" w:hAnsi="Calibri"/>
          <w:sz w:val="16"/>
          <w:szCs w:val="16"/>
        </w:rPr>
        <w:t>Moh’s</w:t>
      </w:r>
      <w:proofErr w:type="spellEnd"/>
      <w:r w:rsidR="00333293" w:rsidRPr="00B13EBD">
        <w:rPr>
          <w:rFonts w:ascii="Calibri" w:hAnsi="Calibri"/>
          <w:sz w:val="16"/>
          <w:szCs w:val="16"/>
        </w:rPr>
        <w:t xml:space="preserve"> surgery) is unlikely to produce a hypertensive reaction with beta-blockers. </w:t>
      </w:r>
      <w:r w:rsidR="00F92245">
        <w:rPr>
          <w:rFonts w:ascii="Calibri" w:hAnsi="Calibri"/>
          <w:sz w:val="16"/>
          <w:szCs w:val="16"/>
        </w:rPr>
        <w:t>One study in healthy subjects given a dental injection of lidocaine plus 45 mcg of epinephrine, pretreatment with a nonselective beta-blocker (</w:t>
      </w:r>
      <w:proofErr w:type="spellStart"/>
      <w:r w:rsidR="00F92245">
        <w:rPr>
          <w:rFonts w:ascii="Calibri" w:hAnsi="Calibri"/>
          <w:sz w:val="16"/>
          <w:szCs w:val="16"/>
        </w:rPr>
        <w:t>pindolol</w:t>
      </w:r>
      <w:proofErr w:type="spellEnd"/>
      <w:r w:rsidR="00F92245">
        <w:rPr>
          <w:rFonts w:ascii="Calibri" w:hAnsi="Calibri"/>
          <w:sz w:val="16"/>
          <w:szCs w:val="16"/>
        </w:rPr>
        <w:t xml:space="preserve">) produced only a slight (8%) and transient increase in systolic blood pressure. </w:t>
      </w:r>
      <w:r w:rsidR="007C223A">
        <w:rPr>
          <w:rFonts w:ascii="Calibri" w:hAnsi="Calibri"/>
          <w:sz w:val="16"/>
          <w:szCs w:val="16"/>
        </w:rPr>
        <w:t>Large</w:t>
      </w:r>
      <w:r w:rsidR="00BD7E4E">
        <w:rPr>
          <w:rFonts w:ascii="Calibri" w:hAnsi="Calibri"/>
          <w:sz w:val="16"/>
          <w:szCs w:val="16"/>
        </w:rPr>
        <w:t xml:space="preserve"> amount</w:t>
      </w:r>
      <w:r w:rsidR="007C223A">
        <w:rPr>
          <w:rFonts w:ascii="Calibri" w:hAnsi="Calibri"/>
          <w:sz w:val="16"/>
          <w:szCs w:val="16"/>
        </w:rPr>
        <w:t>s of epinephrine with local anesthetic may cause hypertensive reactions (see footnote #3 below).</w:t>
      </w:r>
    </w:p>
    <w:p w14:paraId="472392F3" w14:textId="57C5B0E5" w:rsidR="00333293" w:rsidRPr="00B13EBD" w:rsidRDefault="009549BF" w:rsidP="00AE0BAF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3.  Hypertensive reactions have been reported in patients receiving </w:t>
      </w:r>
      <w:r w:rsidR="008E49D3">
        <w:rPr>
          <w:rFonts w:ascii="Calibri" w:hAnsi="Calibri"/>
          <w:sz w:val="16"/>
          <w:szCs w:val="16"/>
        </w:rPr>
        <w:t>local anesthetics plus epinephrine for facial</w:t>
      </w:r>
      <w:r w:rsidR="00333293" w:rsidRPr="00B13EBD">
        <w:rPr>
          <w:rFonts w:ascii="Calibri" w:hAnsi="Calibri"/>
          <w:sz w:val="16"/>
          <w:szCs w:val="16"/>
        </w:rPr>
        <w:t xml:space="preserve"> plastic surgery (for such use, go to </w:t>
      </w:r>
      <w:r w:rsidR="008E49D3">
        <w:rPr>
          <w:rFonts w:ascii="Calibri" w:hAnsi="Calibri"/>
          <w:sz w:val="16"/>
          <w:szCs w:val="16"/>
        </w:rPr>
        <w:t>first line</w:t>
      </w:r>
      <w:r w:rsidR="00AE0BAF">
        <w:rPr>
          <w:rFonts w:ascii="Calibri" w:hAnsi="Calibri"/>
          <w:sz w:val="16"/>
          <w:szCs w:val="16"/>
        </w:rPr>
        <w:t xml:space="preserve"> of decision table</w:t>
      </w:r>
      <w:r w:rsidR="008E49D3">
        <w:rPr>
          <w:rFonts w:ascii="Calibri" w:hAnsi="Calibri"/>
          <w:sz w:val="16"/>
          <w:szCs w:val="16"/>
        </w:rPr>
        <w:t xml:space="preserve"> and follow </w:t>
      </w:r>
      <w:r w:rsidR="00333293" w:rsidRPr="00B13EBD">
        <w:rPr>
          <w:rFonts w:ascii="Calibri" w:hAnsi="Calibri"/>
          <w:sz w:val="16"/>
          <w:szCs w:val="16"/>
        </w:rPr>
        <w:t>“Injection for Systemic Effects”)</w:t>
      </w:r>
    </w:p>
    <w:p w14:paraId="3AC96113" w14:textId="56251DD2" w:rsidR="00333293" w:rsidRDefault="008E49D3" w:rsidP="00333293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4. </w:t>
      </w:r>
      <w:r w:rsidR="00333293" w:rsidRPr="00B13EBD">
        <w:rPr>
          <w:rFonts w:ascii="Calibri" w:hAnsi="Calibri"/>
          <w:sz w:val="16"/>
          <w:szCs w:val="16"/>
        </w:rPr>
        <w:t xml:space="preserve"> </w:t>
      </w:r>
      <w:r w:rsidR="00AE0BAF">
        <w:rPr>
          <w:rFonts w:ascii="Calibri" w:hAnsi="Calibri"/>
          <w:sz w:val="16"/>
          <w:szCs w:val="16"/>
        </w:rPr>
        <w:t>In most other cases where epinephrine is used with local anesthetic, the amount of epinephrine absorbed systemically would not be sufficient to produce a hypertensive reaction. But if large amounts are used (such as with facial plastic surgery) acute hypertension may occur.</w:t>
      </w:r>
    </w:p>
    <w:p w14:paraId="67A8E9FB" w14:textId="28B08074" w:rsidR="00AE0BAF" w:rsidRDefault="00AE0BAF" w:rsidP="00333293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5. In patients on beta-blockers who are actually in anaphylaxis, administration of epinephrine tends to have very little (positive or </w:t>
      </w:r>
      <w:r w:rsidR="007C223A">
        <w:rPr>
          <w:rFonts w:ascii="Calibri" w:hAnsi="Calibri"/>
          <w:sz w:val="16"/>
          <w:szCs w:val="16"/>
        </w:rPr>
        <w:t>negative) effects. So there is general consensus</w:t>
      </w:r>
      <w:r>
        <w:rPr>
          <w:rFonts w:ascii="Calibri" w:hAnsi="Calibri"/>
          <w:sz w:val="16"/>
          <w:szCs w:val="16"/>
        </w:rPr>
        <w:t xml:space="preserve"> that epinephrine should be given to treat anaphylax</w:t>
      </w:r>
      <w:r w:rsidR="00C45300">
        <w:rPr>
          <w:rFonts w:ascii="Calibri" w:hAnsi="Calibri"/>
          <w:sz w:val="16"/>
          <w:szCs w:val="16"/>
        </w:rPr>
        <w:t>is, but one should also be ready to use</w:t>
      </w:r>
      <w:r>
        <w:rPr>
          <w:rFonts w:ascii="Calibri" w:hAnsi="Calibri"/>
          <w:sz w:val="16"/>
          <w:szCs w:val="16"/>
        </w:rPr>
        <w:t xml:space="preserve"> alternative measures (fluids, etc.)</w:t>
      </w:r>
      <w:r w:rsidR="007C223A">
        <w:rPr>
          <w:rFonts w:ascii="Calibri" w:hAnsi="Calibri"/>
          <w:sz w:val="16"/>
          <w:szCs w:val="16"/>
        </w:rPr>
        <w:t xml:space="preserve"> if the response to the epinephrine is inadequate</w:t>
      </w:r>
      <w:r>
        <w:rPr>
          <w:rFonts w:ascii="Calibri" w:hAnsi="Calibri"/>
          <w:sz w:val="16"/>
          <w:szCs w:val="16"/>
        </w:rPr>
        <w:t xml:space="preserve">. </w:t>
      </w:r>
    </w:p>
    <w:p w14:paraId="265DC5E0" w14:textId="67B1E6BC" w:rsidR="00C45300" w:rsidRDefault="00C45300" w:rsidP="00333293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6. If epinephrine is used to prevent anaphylaxis in a beta-blocker treated patient who has been exposed to a potentially anaphylaxis-producing event (e.g., a wasp sting), it is recommended to give the epinephrine as usual. Since the patient is not yet in anaphylaxis, a hypertensive reaction may occur, but the potential benefit of the epinephrine almost certainly outweighs the risk of the acute hypertensive reaction. </w:t>
      </w:r>
    </w:p>
    <w:p w14:paraId="480A9CC6" w14:textId="1FFEB354" w:rsidR="0041688E" w:rsidRDefault="00C45300" w:rsidP="00C4530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7. When a systemic dose of epinephrine is given to a person on one of these nonselective beta-blockers, an acute hypertensive reaction is almost certain. Systolic BPs of 250 mm/Hg </w:t>
      </w:r>
      <w:proofErr w:type="gramStart"/>
      <w:r>
        <w:rPr>
          <w:rFonts w:ascii="Calibri" w:hAnsi="Calibri"/>
          <w:sz w:val="16"/>
          <w:szCs w:val="16"/>
        </w:rPr>
        <w:t>are</w:t>
      </w:r>
      <w:proofErr w:type="gramEnd"/>
      <w:r>
        <w:rPr>
          <w:rFonts w:ascii="Calibri" w:hAnsi="Calibri"/>
          <w:sz w:val="16"/>
          <w:szCs w:val="16"/>
        </w:rPr>
        <w:t xml:space="preserve"> not uncommon. Most people can probably withstand a short episode of such a hypertensive reaction without permanent sequelae, but strokes have occurred in susceptible patients. </w:t>
      </w:r>
      <w:r w:rsidR="004E0A46">
        <w:rPr>
          <w:rFonts w:ascii="Calibri" w:hAnsi="Calibri"/>
          <w:sz w:val="16"/>
          <w:szCs w:val="16"/>
        </w:rPr>
        <w:t xml:space="preserve">Thus, it is best to avoid this reaction if possible. If a patient is likely to receive systemic epinephrine, it would be prudent to use a </w:t>
      </w:r>
      <w:proofErr w:type="spellStart"/>
      <w:r w:rsidR="004E0A46">
        <w:rPr>
          <w:rFonts w:ascii="Calibri" w:hAnsi="Calibri"/>
          <w:sz w:val="16"/>
          <w:szCs w:val="16"/>
        </w:rPr>
        <w:t>cardioselective</w:t>
      </w:r>
      <w:proofErr w:type="spellEnd"/>
      <w:r w:rsidR="004E0A46">
        <w:rPr>
          <w:rFonts w:ascii="Calibri" w:hAnsi="Calibri"/>
          <w:sz w:val="16"/>
          <w:szCs w:val="16"/>
        </w:rPr>
        <w:t xml:space="preserve"> beta-blocker.</w:t>
      </w:r>
    </w:p>
    <w:p w14:paraId="4E5EA577" w14:textId="5A1D81CC" w:rsidR="004E0A46" w:rsidRDefault="004E0A46" w:rsidP="00C4530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8. </w:t>
      </w:r>
      <w:proofErr w:type="spellStart"/>
      <w:r>
        <w:rPr>
          <w:rFonts w:ascii="Calibri" w:hAnsi="Calibri"/>
          <w:sz w:val="16"/>
          <w:szCs w:val="16"/>
        </w:rPr>
        <w:t>Timolol</w:t>
      </w:r>
      <w:proofErr w:type="spellEnd"/>
      <w:r>
        <w:rPr>
          <w:rFonts w:ascii="Calibri" w:hAnsi="Calibri"/>
          <w:sz w:val="16"/>
          <w:szCs w:val="16"/>
        </w:rPr>
        <w:t xml:space="preserve"> is a nonselective beta-blocker, but systemic absorption of epinephrine from the eye gel appears to be minimal compared to the drops</w:t>
      </w:r>
      <w:r w:rsidR="004060AD">
        <w:rPr>
          <w:rFonts w:ascii="Calibri" w:hAnsi="Calibri"/>
          <w:sz w:val="16"/>
          <w:szCs w:val="16"/>
        </w:rPr>
        <w:t xml:space="preserve"> (10 times higher with the drops)</w:t>
      </w:r>
      <w:r>
        <w:rPr>
          <w:rFonts w:ascii="Calibri" w:hAnsi="Calibri"/>
          <w:sz w:val="16"/>
          <w:szCs w:val="16"/>
        </w:rPr>
        <w:t>. Thus a hypertensive reaction is unlikely. With</w:t>
      </w:r>
      <w:r w:rsidR="004060AD">
        <w:rPr>
          <w:rFonts w:ascii="Calibri" w:hAnsi="Calibri"/>
          <w:sz w:val="16"/>
          <w:szCs w:val="16"/>
        </w:rPr>
        <w:t xml:space="preserve"> aqueous</w:t>
      </w:r>
      <w:r>
        <w:rPr>
          <w:rFonts w:ascii="Calibri" w:hAnsi="Calibri"/>
          <w:sz w:val="16"/>
          <w:szCs w:val="16"/>
        </w:rPr>
        <w:t xml:space="preserve"> </w:t>
      </w:r>
      <w:proofErr w:type="spellStart"/>
      <w:r>
        <w:rPr>
          <w:rFonts w:ascii="Calibri" w:hAnsi="Calibri"/>
          <w:sz w:val="16"/>
          <w:szCs w:val="16"/>
        </w:rPr>
        <w:t>timolol</w:t>
      </w:r>
      <w:proofErr w:type="spellEnd"/>
      <w:r>
        <w:rPr>
          <w:rFonts w:ascii="Calibri" w:hAnsi="Calibri"/>
          <w:sz w:val="16"/>
          <w:szCs w:val="16"/>
        </w:rPr>
        <w:t xml:space="preserve"> eye drops, however, many cases of systemic beta-blockade have been reported, so a hypertensive reaction is possible.</w:t>
      </w:r>
    </w:p>
    <w:p w14:paraId="1454714E" w14:textId="3B728DEC" w:rsidR="004E0A46" w:rsidRDefault="004E0A46" w:rsidP="00C4530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9. At doses over 100 mg/day, atenolol can result in nonselective beta-blockade.</w:t>
      </w:r>
    </w:p>
    <w:p w14:paraId="7D602083" w14:textId="402DF509" w:rsidR="004E0A46" w:rsidRDefault="004E0A46" w:rsidP="00C4530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10. Atenolol and </w:t>
      </w:r>
      <w:proofErr w:type="spellStart"/>
      <w:r>
        <w:rPr>
          <w:rFonts w:ascii="Calibri" w:hAnsi="Calibri"/>
          <w:sz w:val="16"/>
          <w:szCs w:val="16"/>
        </w:rPr>
        <w:t>bisoprolol</w:t>
      </w:r>
      <w:proofErr w:type="spellEnd"/>
      <w:r>
        <w:rPr>
          <w:rFonts w:ascii="Calibri" w:hAnsi="Calibri"/>
          <w:sz w:val="16"/>
          <w:szCs w:val="16"/>
        </w:rPr>
        <w:t xml:space="preserve"> undergo renal elimination, and may produce nonselective beta-blockade with significant renal impairment. </w:t>
      </w:r>
    </w:p>
    <w:p w14:paraId="5E429203" w14:textId="5DB7B2E7" w:rsidR="004E0A46" w:rsidRDefault="004E0A46" w:rsidP="00C4530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11. At doses of 20 mg/day or higher, </w:t>
      </w:r>
      <w:proofErr w:type="spellStart"/>
      <w:r>
        <w:rPr>
          <w:rFonts w:ascii="Calibri" w:hAnsi="Calibri"/>
          <w:sz w:val="16"/>
          <w:szCs w:val="16"/>
        </w:rPr>
        <w:t>bisoprolol</w:t>
      </w:r>
      <w:proofErr w:type="spellEnd"/>
      <w:r>
        <w:rPr>
          <w:rFonts w:ascii="Calibri" w:hAnsi="Calibri"/>
          <w:sz w:val="16"/>
          <w:szCs w:val="16"/>
        </w:rPr>
        <w:t xml:space="preserve"> can result in nonselective beta-blockade</w:t>
      </w:r>
    </w:p>
    <w:p w14:paraId="6B5730AA" w14:textId="3B3BFECA" w:rsidR="004E0A46" w:rsidRDefault="004E0A46" w:rsidP="00C4530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12. </w:t>
      </w:r>
      <w:r w:rsidR="00A47C7A">
        <w:rPr>
          <w:rFonts w:ascii="Calibri" w:hAnsi="Calibri"/>
          <w:sz w:val="16"/>
          <w:szCs w:val="16"/>
        </w:rPr>
        <w:t xml:space="preserve">At doses over 300 mcg/kg/min, </w:t>
      </w:r>
      <w:proofErr w:type="spellStart"/>
      <w:r w:rsidR="00A47C7A">
        <w:rPr>
          <w:rFonts w:ascii="Calibri" w:hAnsi="Calibri"/>
          <w:sz w:val="16"/>
          <w:szCs w:val="16"/>
        </w:rPr>
        <w:t>esmolol</w:t>
      </w:r>
      <w:proofErr w:type="spellEnd"/>
      <w:r w:rsidR="00A47C7A">
        <w:rPr>
          <w:rFonts w:ascii="Calibri" w:hAnsi="Calibri"/>
          <w:sz w:val="16"/>
          <w:szCs w:val="16"/>
        </w:rPr>
        <w:t xml:space="preserve"> can result in nonselective beta-blockade</w:t>
      </w:r>
    </w:p>
    <w:p w14:paraId="1C796C94" w14:textId="0CDFC2FE" w:rsidR="00A47C7A" w:rsidRDefault="00A47C7A" w:rsidP="00C4530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13. At doses over 100 mg/day, metoprolol can result in nonselective beta-blockade.</w:t>
      </w:r>
    </w:p>
    <w:p w14:paraId="19FFFED4" w14:textId="0FA6F53F" w:rsidR="00A47C7A" w:rsidRDefault="00A47C7A" w:rsidP="00C4530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14. Metoprolol is metabolized by CYP2D6, and patients who are deficient in CYP2D6 (PMs) may develop higher metoprolol plasma concentrations and nonselective beta-blockade.</w:t>
      </w:r>
    </w:p>
    <w:p w14:paraId="7F4831AF" w14:textId="65491ADD" w:rsidR="00A47C7A" w:rsidRDefault="00A47C7A" w:rsidP="00C4530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15. Metoprolol is metabolized by CYP2D6, and patients who are receiving moderate to potent CYP2D6 inhibitors may develop higher metoprolol plasma concentrations and nonselective beta-blockade. Moderate to potent CYP2D6 inhibitors include: </w:t>
      </w:r>
      <w:proofErr w:type="spellStart"/>
      <w:r>
        <w:rPr>
          <w:rFonts w:ascii="Calibri" w:hAnsi="Calibri"/>
          <w:sz w:val="16"/>
          <w:szCs w:val="16"/>
        </w:rPr>
        <w:t>abiraterone</w:t>
      </w:r>
      <w:proofErr w:type="spellEnd"/>
      <w:r>
        <w:rPr>
          <w:rFonts w:ascii="Calibri" w:hAnsi="Calibri"/>
          <w:sz w:val="16"/>
          <w:szCs w:val="16"/>
        </w:rPr>
        <w:t xml:space="preserve">, amiodarone, bupropion, </w:t>
      </w:r>
      <w:proofErr w:type="spellStart"/>
      <w:r w:rsidR="004060AD">
        <w:rPr>
          <w:rFonts w:ascii="Calibri" w:hAnsi="Calibri"/>
          <w:sz w:val="16"/>
          <w:szCs w:val="16"/>
        </w:rPr>
        <w:t>cinacalcet</w:t>
      </w:r>
      <w:proofErr w:type="spellEnd"/>
      <w:r w:rsidR="004060AD">
        <w:rPr>
          <w:rFonts w:ascii="Calibri" w:hAnsi="Calibri"/>
          <w:sz w:val="16"/>
          <w:szCs w:val="16"/>
        </w:rPr>
        <w:t xml:space="preserve">, </w:t>
      </w:r>
      <w:proofErr w:type="spellStart"/>
      <w:r w:rsidR="004060AD">
        <w:rPr>
          <w:rFonts w:ascii="Calibri" w:hAnsi="Calibri"/>
          <w:sz w:val="16"/>
          <w:szCs w:val="16"/>
        </w:rPr>
        <w:t>clobazam</w:t>
      </w:r>
      <w:proofErr w:type="spellEnd"/>
      <w:r w:rsidR="004060AD">
        <w:rPr>
          <w:rFonts w:ascii="Calibri" w:hAnsi="Calibri"/>
          <w:sz w:val="16"/>
          <w:szCs w:val="16"/>
        </w:rPr>
        <w:t xml:space="preserve">, </w:t>
      </w:r>
      <w:r>
        <w:rPr>
          <w:rFonts w:ascii="Calibri" w:hAnsi="Calibri"/>
          <w:sz w:val="16"/>
          <w:szCs w:val="16"/>
        </w:rPr>
        <w:t xml:space="preserve">diphenhydramine, duloxetine, fluoxetine, </w:t>
      </w:r>
      <w:r w:rsidR="004060AD">
        <w:rPr>
          <w:rFonts w:ascii="Calibri" w:hAnsi="Calibri"/>
          <w:sz w:val="16"/>
          <w:szCs w:val="16"/>
        </w:rPr>
        <w:t xml:space="preserve">haloperidol, </w:t>
      </w:r>
      <w:proofErr w:type="spellStart"/>
      <w:r w:rsidR="004060AD">
        <w:rPr>
          <w:rFonts w:ascii="Calibri" w:hAnsi="Calibri"/>
          <w:sz w:val="16"/>
          <w:szCs w:val="16"/>
        </w:rPr>
        <w:t>mirabegron</w:t>
      </w:r>
      <w:proofErr w:type="spellEnd"/>
      <w:r w:rsidR="004060AD">
        <w:rPr>
          <w:rFonts w:ascii="Calibri" w:hAnsi="Calibri"/>
          <w:sz w:val="16"/>
          <w:szCs w:val="16"/>
        </w:rPr>
        <w:t xml:space="preserve">, paroxetine, </w:t>
      </w:r>
      <w:proofErr w:type="spellStart"/>
      <w:r w:rsidR="004060AD">
        <w:rPr>
          <w:rFonts w:ascii="Calibri" w:hAnsi="Calibri"/>
          <w:sz w:val="16"/>
          <w:szCs w:val="16"/>
        </w:rPr>
        <w:t>propafenone</w:t>
      </w:r>
      <w:proofErr w:type="spellEnd"/>
      <w:r w:rsidR="004060AD">
        <w:rPr>
          <w:rFonts w:ascii="Calibri" w:hAnsi="Calibri"/>
          <w:sz w:val="16"/>
          <w:szCs w:val="16"/>
        </w:rPr>
        <w:t xml:space="preserve">, quinidine, ritonavir, terbinafine, and </w:t>
      </w:r>
      <w:proofErr w:type="spellStart"/>
      <w:r w:rsidR="004060AD">
        <w:rPr>
          <w:rFonts w:ascii="Calibri" w:hAnsi="Calibri"/>
          <w:sz w:val="16"/>
          <w:szCs w:val="16"/>
        </w:rPr>
        <w:t>thioridazine</w:t>
      </w:r>
      <w:proofErr w:type="spellEnd"/>
      <w:r w:rsidR="004060AD">
        <w:rPr>
          <w:rFonts w:ascii="Calibri" w:hAnsi="Calibri"/>
          <w:sz w:val="16"/>
          <w:szCs w:val="16"/>
        </w:rPr>
        <w:t xml:space="preserve">. </w:t>
      </w:r>
    </w:p>
    <w:p w14:paraId="09EAFBE3" w14:textId="54B51139" w:rsidR="00A47C7A" w:rsidRDefault="00A47C7A" w:rsidP="00C4530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16. At doses over 10 mg/day, </w:t>
      </w:r>
      <w:proofErr w:type="spellStart"/>
      <w:r>
        <w:rPr>
          <w:rFonts w:ascii="Calibri" w:hAnsi="Calibri"/>
          <w:sz w:val="16"/>
          <w:szCs w:val="16"/>
        </w:rPr>
        <w:t>nebivolol</w:t>
      </w:r>
      <w:proofErr w:type="spellEnd"/>
      <w:r>
        <w:rPr>
          <w:rFonts w:ascii="Calibri" w:hAnsi="Calibri"/>
          <w:sz w:val="16"/>
          <w:szCs w:val="16"/>
        </w:rPr>
        <w:t xml:space="preserve"> can result in nonselective beta-blockade.</w:t>
      </w:r>
    </w:p>
    <w:p w14:paraId="70A775D6" w14:textId="6D5ECF68" w:rsidR="00A47C7A" w:rsidRDefault="00A47C7A" w:rsidP="00A47C7A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17. </w:t>
      </w:r>
      <w:proofErr w:type="spellStart"/>
      <w:r>
        <w:rPr>
          <w:rFonts w:ascii="Calibri" w:hAnsi="Calibri"/>
          <w:sz w:val="16"/>
          <w:szCs w:val="16"/>
        </w:rPr>
        <w:t>Nebivolol</w:t>
      </w:r>
      <w:proofErr w:type="spellEnd"/>
      <w:r>
        <w:rPr>
          <w:rFonts w:ascii="Calibri" w:hAnsi="Calibri"/>
          <w:sz w:val="16"/>
          <w:szCs w:val="16"/>
        </w:rPr>
        <w:t xml:space="preserve"> is metabolized by CYP2D6, and patients who are deficient in CYP2D6 (PMs) may develop higher </w:t>
      </w:r>
      <w:proofErr w:type="spellStart"/>
      <w:r>
        <w:rPr>
          <w:rFonts w:ascii="Calibri" w:hAnsi="Calibri"/>
          <w:sz w:val="16"/>
          <w:szCs w:val="16"/>
        </w:rPr>
        <w:t>nebivolol</w:t>
      </w:r>
      <w:proofErr w:type="spellEnd"/>
      <w:r>
        <w:rPr>
          <w:rFonts w:ascii="Calibri" w:hAnsi="Calibri"/>
          <w:sz w:val="16"/>
          <w:szCs w:val="16"/>
        </w:rPr>
        <w:t xml:space="preserve"> plasma concentrations and nonselective beta-blockade.</w:t>
      </w:r>
    </w:p>
    <w:p w14:paraId="63608827" w14:textId="2C1E25C9" w:rsidR="00A47C7A" w:rsidRDefault="00C46B53" w:rsidP="00A47C7A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18</w:t>
      </w:r>
      <w:r w:rsidR="00A47C7A">
        <w:rPr>
          <w:rFonts w:ascii="Calibri" w:hAnsi="Calibri"/>
          <w:sz w:val="16"/>
          <w:szCs w:val="16"/>
        </w:rPr>
        <w:t xml:space="preserve">. </w:t>
      </w:r>
      <w:proofErr w:type="spellStart"/>
      <w:r w:rsidR="00A47C7A">
        <w:rPr>
          <w:rFonts w:ascii="Calibri" w:hAnsi="Calibri"/>
          <w:sz w:val="16"/>
          <w:szCs w:val="16"/>
        </w:rPr>
        <w:t>Nebivolol</w:t>
      </w:r>
      <w:proofErr w:type="spellEnd"/>
      <w:r w:rsidR="00A47C7A">
        <w:rPr>
          <w:rFonts w:ascii="Calibri" w:hAnsi="Calibri"/>
          <w:sz w:val="16"/>
          <w:szCs w:val="16"/>
        </w:rPr>
        <w:t xml:space="preserve"> is metabolized by CYP2D6, and patients who are receiving moderate to potent CYP2D6 inhibito</w:t>
      </w:r>
      <w:r>
        <w:rPr>
          <w:rFonts w:ascii="Calibri" w:hAnsi="Calibri"/>
          <w:sz w:val="16"/>
          <w:szCs w:val="16"/>
        </w:rPr>
        <w:t xml:space="preserve">rs may develop higher </w:t>
      </w:r>
      <w:proofErr w:type="spellStart"/>
      <w:r>
        <w:rPr>
          <w:rFonts w:ascii="Calibri" w:hAnsi="Calibri"/>
          <w:sz w:val="16"/>
          <w:szCs w:val="16"/>
        </w:rPr>
        <w:t>nebivolol</w:t>
      </w:r>
      <w:proofErr w:type="spellEnd"/>
      <w:r w:rsidR="00A47C7A">
        <w:rPr>
          <w:rFonts w:ascii="Calibri" w:hAnsi="Calibri"/>
          <w:sz w:val="16"/>
          <w:szCs w:val="16"/>
        </w:rPr>
        <w:t xml:space="preserve"> plasma concentrations and nonselective beta-blockade. </w:t>
      </w:r>
      <w:r w:rsidR="004060AD">
        <w:rPr>
          <w:rFonts w:ascii="Calibri" w:hAnsi="Calibri"/>
          <w:sz w:val="16"/>
          <w:szCs w:val="16"/>
        </w:rPr>
        <w:t xml:space="preserve">Moderate to potent CYP2D6 inhibitors include: </w:t>
      </w:r>
      <w:proofErr w:type="spellStart"/>
      <w:r w:rsidR="004060AD">
        <w:rPr>
          <w:rFonts w:ascii="Calibri" w:hAnsi="Calibri"/>
          <w:sz w:val="16"/>
          <w:szCs w:val="16"/>
        </w:rPr>
        <w:t>abiraterone</w:t>
      </w:r>
      <w:proofErr w:type="spellEnd"/>
      <w:r w:rsidR="004060AD">
        <w:rPr>
          <w:rFonts w:ascii="Calibri" w:hAnsi="Calibri"/>
          <w:sz w:val="16"/>
          <w:szCs w:val="16"/>
        </w:rPr>
        <w:t xml:space="preserve">, amiodarone, bupropion, </w:t>
      </w:r>
      <w:proofErr w:type="spellStart"/>
      <w:r w:rsidR="004060AD">
        <w:rPr>
          <w:rFonts w:ascii="Calibri" w:hAnsi="Calibri"/>
          <w:sz w:val="16"/>
          <w:szCs w:val="16"/>
        </w:rPr>
        <w:t>cinacalcet</w:t>
      </w:r>
      <w:proofErr w:type="spellEnd"/>
      <w:r w:rsidR="004060AD">
        <w:rPr>
          <w:rFonts w:ascii="Calibri" w:hAnsi="Calibri"/>
          <w:sz w:val="16"/>
          <w:szCs w:val="16"/>
        </w:rPr>
        <w:t xml:space="preserve">, </w:t>
      </w:r>
      <w:proofErr w:type="spellStart"/>
      <w:r w:rsidR="004060AD">
        <w:rPr>
          <w:rFonts w:ascii="Calibri" w:hAnsi="Calibri"/>
          <w:sz w:val="16"/>
          <w:szCs w:val="16"/>
        </w:rPr>
        <w:t>clobazam</w:t>
      </w:r>
      <w:proofErr w:type="spellEnd"/>
      <w:r w:rsidR="004060AD">
        <w:rPr>
          <w:rFonts w:ascii="Calibri" w:hAnsi="Calibri"/>
          <w:sz w:val="16"/>
          <w:szCs w:val="16"/>
        </w:rPr>
        <w:t xml:space="preserve">, diphenhydramine, duloxetine, fluoxetine, haloperidol, </w:t>
      </w:r>
      <w:proofErr w:type="spellStart"/>
      <w:r w:rsidR="004060AD">
        <w:rPr>
          <w:rFonts w:ascii="Calibri" w:hAnsi="Calibri"/>
          <w:sz w:val="16"/>
          <w:szCs w:val="16"/>
        </w:rPr>
        <w:t>mirabegron</w:t>
      </w:r>
      <w:proofErr w:type="spellEnd"/>
      <w:r w:rsidR="004060AD">
        <w:rPr>
          <w:rFonts w:ascii="Calibri" w:hAnsi="Calibri"/>
          <w:sz w:val="16"/>
          <w:szCs w:val="16"/>
        </w:rPr>
        <w:t xml:space="preserve">, paroxetine, </w:t>
      </w:r>
      <w:proofErr w:type="spellStart"/>
      <w:r w:rsidR="004060AD">
        <w:rPr>
          <w:rFonts w:ascii="Calibri" w:hAnsi="Calibri"/>
          <w:sz w:val="16"/>
          <w:szCs w:val="16"/>
        </w:rPr>
        <w:t>propafenone</w:t>
      </w:r>
      <w:proofErr w:type="spellEnd"/>
      <w:r w:rsidR="004060AD">
        <w:rPr>
          <w:rFonts w:ascii="Calibri" w:hAnsi="Calibri"/>
          <w:sz w:val="16"/>
          <w:szCs w:val="16"/>
        </w:rPr>
        <w:t xml:space="preserve">, quinidine, ritonavir, terbinafine, and </w:t>
      </w:r>
      <w:proofErr w:type="spellStart"/>
      <w:r w:rsidR="004060AD">
        <w:rPr>
          <w:rFonts w:ascii="Calibri" w:hAnsi="Calibri"/>
          <w:sz w:val="16"/>
          <w:szCs w:val="16"/>
        </w:rPr>
        <w:t>thioridazine</w:t>
      </w:r>
      <w:proofErr w:type="spellEnd"/>
      <w:r w:rsidR="004060AD">
        <w:rPr>
          <w:rFonts w:ascii="Calibri" w:hAnsi="Calibri"/>
          <w:sz w:val="16"/>
          <w:szCs w:val="16"/>
        </w:rPr>
        <w:t>.</w:t>
      </w:r>
    </w:p>
    <w:p w14:paraId="4162A7F3" w14:textId="7D3BE1C3" w:rsidR="00A47C7A" w:rsidRDefault="00C46B53" w:rsidP="00C4530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19. Large doses of </w:t>
      </w:r>
      <w:proofErr w:type="spellStart"/>
      <w:r>
        <w:rPr>
          <w:rFonts w:ascii="Calibri" w:hAnsi="Calibri"/>
          <w:sz w:val="16"/>
          <w:szCs w:val="16"/>
        </w:rPr>
        <w:t>betaxolol</w:t>
      </w:r>
      <w:proofErr w:type="spellEnd"/>
      <w:r>
        <w:rPr>
          <w:rFonts w:ascii="Calibri" w:hAnsi="Calibri"/>
          <w:sz w:val="16"/>
          <w:szCs w:val="16"/>
        </w:rPr>
        <w:t xml:space="preserve"> may result in nonselective beta-blockade. [</w:t>
      </w:r>
      <w:proofErr w:type="gramStart"/>
      <w:r>
        <w:rPr>
          <w:rFonts w:ascii="Calibri" w:hAnsi="Calibri"/>
          <w:sz w:val="16"/>
          <w:szCs w:val="16"/>
        </w:rPr>
        <w:t>to</w:t>
      </w:r>
      <w:proofErr w:type="gramEnd"/>
      <w:r>
        <w:rPr>
          <w:rFonts w:ascii="Calibri" w:hAnsi="Calibri"/>
          <w:sz w:val="16"/>
          <w:szCs w:val="16"/>
        </w:rPr>
        <w:t xml:space="preserve"> do: define “large”]</w:t>
      </w:r>
    </w:p>
    <w:p w14:paraId="254ECBEB" w14:textId="46F3BDE2" w:rsidR="00C435F7" w:rsidRDefault="00C46B53" w:rsidP="00C4530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20. </w:t>
      </w:r>
      <w:r w:rsidR="00C435F7">
        <w:rPr>
          <w:rFonts w:ascii="Calibri" w:hAnsi="Calibri"/>
          <w:sz w:val="16"/>
          <w:szCs w:val="16"/>
        </w:rPr>
        <w:t>Labetalol is a nonselective beta-blocker but it has some alpha</w:t>
      </w:r>
      <w:r w:rsidR="00CA6FE4">
        <w:rPr>
          <w:rFonts w:ascii="Calibri" w:hAnsi="Calibri"/>
          <w:sz w:val="16"/>
          <w:szCs w:val="16"/>
        </w:rPr>
        <w:t>1</w:t>
      </w:r>
      <w:r w:rsidR="00C435F7">
        <w:rPr>
          <w:rFonts w:ascii="Calibri" w:hAnsi="Calibri"/>
          <w:sz w:val="16"/>
          <w:szCs w:val="16"/>
        </w:rPr>
        <w:t xml:space="preserve">-blocking effects. Study in healthy subjects found that in the presence of labetalol, epinephrine did not produce a systolic hypertensive reaction, but did produce a diastolic pressor response. </w:t>
      </w:r>
    </w:p>
    <w:p w14:paraId="68EA3D3B" w14:textId="0C659460" w:rsidR="00C46B53" w:rsidRDefault="00C435F7" w:rsidP="00C4530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21. </w:t>
      </w:r>
      <w:r w:rsidR="00E848E7">
        <w:rPr>
          <w:rFonts w:ascii="Calibri" w:hAnsi="Calibri"/>
          <w:sz w:val="16"/>
          <w:szCs w:val="16"/>
        </w:rPr>
        <w:t>Carvedilol, like labetalol is a nonselective beta-blocker with alpha</w:t>
      </w:r>
      <w:r w:rsidR="00CA6FE4">
        <w:rPr>
          <w:rFonts w:ascii="Calibri" w:hAnsi="Calibri"/>
          <w:sz w:val="16"/>
          <w:szCs w:val="16"/>
        </w:rPr>
        <w:t>1</w:t>
      </w:r>
      <w:r w:rsidR="00E848E7">
        <w:rPr>
          <w:rFonts w:ascii="Calibri" w:hAnsi="Calibri"/>
          <w:sz w:val="16"/>
          <w:szCs w:val="16"/>
        </w:rPr>
        <w:t xml:space="preserve">-blocking effects (see #20 above). There is some evidence, however, that with long-term administration of carvedilol, the alpha-blocking effects dissipate. It is not known if </w:t>
      </w:r>
      <w:r w:rsidR="00D5183D">
        <w:rPr>
          <w:rFonts w:ascii="Calibri" w:hAnsi="Calibri"/>
          <w:sz w:val="16"/>
          <w:szCs w:val="16"/>
        </w:rPr>
        <w:t xml:space="preserve">long-term </w:t>
      </w:r>
      <w:r w:rsidR="00E848E7">
        <w:rPr>
          <w:rFonts w:ascii="Calibri" w:hAnsi="Calibri"/>
          <w:sz w:val="16"/>
          <w:szCs w:val="16"/>
        </w:rPr>
        <w:t>carvedilol causes acute hypertension following systemic epinephrine</w:t>
      </w:r>
      <w:r w:rsidR="00D5183D">
        <w:rPr>
          <w:rFonts w:ascii="Calibri" w:hAnsi="Calibri"/>
          <w:sz w:val="16"/>
          <w:szCs w:val="16"/>
        </w:rPr>
        <w:t>, but study in healthy subjects given carvedilol for 2 weeks suggested that hypertension may not occur.</w:t>
      </w:r>
      <w:r w:rsidR="00E848E7">
        <w:rPr>
          <w:rFonts w:ascii="Calibri" w:hAnsi="Calibri"/>
          <w:sz w:val="16"/>
          <w:szCs w:val="16"/>
        </w:rPr>
        <w:t xml:space="preserve"> </w:t>
      </w:r>
    </w:p>
    <w:p w14:paraId="5A2D2268" w14:textId="1EB8D15D" w:rsidR="0041688E" w:rsidRDefault="00C435F7" w:rsidP="002C31D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22</w:t>
      </w:r>
      <w:r w:rsidR="00C46B53">
        <w:rPr>
          <w:rFonts w:ascii="Calibri" w:hAnsi="Calibri"/>
          <w:sz w:val="16"/>
          <w:szCs w:val="16"/>
        </w:rPr>
        <w:t>. Systemic doses of epinephrine normally act for only a short time (minutes) so if a beta-blocker is given after the epinephrine, n</w:t>
      </w:r>
      <w:r w:rsidR="002C31D0">
        <w:rPr>
          <w:rFonts w:ascii="Calibri" w:hAnsi="Calibri"/>
          <w:sz w:val="16"/>
          <w:szCs w:val="16"/>
        </w:rPr>
        <w:t>o interaction would be expected.</w:t>
      </w:r>
    </w:p>
    <w:p w14:paraId="1525915A" w14:textId="688D29F1" w:rsidR="002C31D0" w:rsidRDefault="00C435F7" w:rsidP="002C31D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23</w:t>
      </w:r>
      <w:r w:rsidR="00A309F2">
        <w:rPr>
          <w:rFonts w:ascii="Calibri" w:hAnsi="Calibri"/>
          <w:sz w:val="16"/>
          <w:szCs w:val="16"/>
        </w:rPr>
        <w:t xml:space="preserve">. </w:t>
      </w:r>
      <w:proofErr w:type="spellStart"/>
      <w:r w:rsidR="004060AD">
        <w:rPr>
          <w:rFonts w:ascii="Calibri" w:hAnsi="Calibri"/>
          <w:sz w:val="16"/>
          <w:szCs w:val="16"/>
        </w:rPr>
        <w:t>Timolol</w:t>
      </w:r>
      <w:proofErr w:type="spellEnd"/>
      <w:r w:rsidR="004060AD">
        <w:rPr>
          <w:rFonts w:ascii="Calibri" w:hAnsi="Calibri"/>
          <w:sz w:val="16"/>
          <w:szCs w:val="16"/>
        </w:rPr>
        <w:t xml:space="preserve"> is a nonselective beta-blocker, and </w:t>
      </w:r>
      <w:proofErr w:type="spellStart"/>
      <w:r w:rsidR="004060AD">
        <w:rPr>
          <w:rFonts w:ascii="Calibri" w:hAnsi="Calibri"/>
          <w:sz w:val="16"/>
          <w:szCs w:val="16"/>
        </w:rPr>
        <w:t>t</w:t>
      </w:r>
      <w:r w:rsidR="00A309F2">
        <w:rPr>
          <w:rFonts w:ascii="Calibri" w:hAnsi="Calibri"/>
          <w:sz w:val="16"/>
          <w:szCs w:val="16"/>
        </w:rPr>
        <w:t>imolol</w:t>
      </w:r>
      <w:proofErr w:type="spellEnd"/>
      <w:r w:rsidR="004060AD">
        <w:rPr>
          <w:rFonts w:ascii="Calibri" w:hAnsi="Calibri"/>
          <w:sz w:val="16"/>
          <w:szCs w:val="16"/>
        </w:rPr>
        <w:t xml:space="preserve"> eye drops have been shown to produce systemic beta-blockade.</w:t>
      </w:r>
      <w:r w:rsidR="00A309F2">
        <w:rPr>
          <w:rFonts w:ascii="Calibri" w:hAnsi="Calibri"/>
          <w:sz w:val="16"/>
          <w:szCs w:val="16"/>
        </w:rPr>
        <w:t xml:space="preserve"> </w:t>
      </w:r>
      <w:proofErr w:type="spellStart"/>
      <w:r w:rsidR="004060AD">
        <w:rPr>
          <w:rFonts w:ascii="Calibri" w:hAnsi="Calibri"/>
          <w:sz w:val="16"/>
          <w:szCs w:val="16"/>
        </w:rPr>
        <w:t>Timolol</w:t>
      </w:r>
      <w:proofErr w:type="spellEnd"/>
      <w:r w:rsidR="004060AD">
        <w:rPr>
          <w:rFonts w:ascii="Calibri" w:hAnsi="Calibri"/>
          <w:sz w:val="16"/>
          <w:szCs w:val="16"/>
        </w:rPr>
        <w:t xml:space="preserve"> </w:t>
      </w:r>
      <w:r w:rsidR="00A309F2">
        <w:rPr>
          <w:rFonts w:ascii="Calibri" w:hAnsi="Calibri"/>
          <w:sz w:val="16"/>
          <w:szCs w:val="16"/>
        </w:rPr>
        <w:t xml:space="preserve">is metabolized by CYP2D6, and patients who are deficient in CYP2D6 (PMs) have been shown to develop higher </w:t>
      </w:r>
      <w:proofErr w:type="spellStart"/>
      <w:r w:rsidR="00A309F2">
        <w:rPr>
          <w:rFonts w:ascii="Calibri" w:hAnsi="Calibri"/>
          <w:sz w:val="16"/>
          <w:szCs w:val="16"/>
        </w:rPr>
        <w:t>timolol</w:t>
      </w:r>
      <w:proofErr w:type="spellEnd"/>
      <w:r w:rsidR="00A309F2">
        <w:rPr>
          <w:rFonts w:ascii="Calibri" w:hAnsi="Calibri"/>
          <w:sz w:val="16"/>
          <w:szCs w:val="16"/>
        </w:rPr>
        <w:t xml:space="preserve"> plasma concentrations following </w:t>
      </w:r>
      <w:proofErr w:type="spellStart"/>
      <w:r w:rsidR="00A309F2">
        <w:rPr>
          <w:rFonts w:ascii="Calibri" w:hAnsi="Calibri"/>
          <w:sz w:val="16"/>
          <w:szCs w:val="16"/>
        </w:rPr>
        <w:t>timolol</w:t>
      </w:r>
      <w:proofErr w:type="spellEnd"/>
      <w:r w:rsidR="00A309F2">
        <w:rPr>
          <w:rFonts w:ascii="Calibri" w:hAnsi="Calibri"/>
          <w:sz w:val="16"/>
          <w:szCs w:val="16"/>
        </w:rPr>
        <w:t xml:space="preserve"> ophthalmic aqueous drops.</w:t>
      </w:r>
    </w:p>
    <w:p w14:paraId="649EA4C4" w14:textId="27366828" w:rsidR="00A309F2" w:rsidRDefault="00C435F7" w:rsidP="002C31D0">
      <w:pPr>
        <w:ind w:left="144" w:hanging="144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24</w:t>
      </w:r>
      <w:r w:rsidR="00A309F2">
        <w:rPr>
          <w:rFonts w:ascii="Calibri" w:hAnsi="Calibri"/>
          <w:sz w:val="16"/>
          <w:szCs w:val="16"/>
        </w:rPr>
        <w:t xml:space="preserve">. </w:t>
      </w:r>
      <w:proofErr w:type="spellStart"/>
      <w:r w:rsidR="004060AD">
        <w:rPr>
          <w:rFonts w:ascii="Calibri" w:hAnsi="Calibri"/>
          <w:sz w:val="16"/>
          <w:szCs w:val="16"/>
        </w:rPr>
        <w:t>Timolol</w:t>
      </w:r>
      <w:proofErr w:type="spellEnd"/>
      <w:r w:rsidR="004060AD">
        <w:rPr>
          <w:rFonts w:ascii="Calibri" w:hAnsi="Calibri"/>
          <w:sz w:val="16"/>
          <w:szCs w:val="16"/>
        </w:rPr>
        <w:t xml:space="preserve"> is a nonselective beta-blocker, and </w:t>
      </w:r>
      <w:proofErr w:type="spellStart"/>
      <w:r w:rsidR="004060AD">
        <w:rPr>
          <w:rFonts w:ascii="Calibri" w:hAnsi="Calibri"/>
          <w:sz w:val="16"/>
          <w:szCs w:val="16"/>
        </w:rPr>
        <w:t>timolol</w:t>
      </w:r>
      <w:proofErr w:type="spellEnd"/>
      <w:r w:rsidR="004060AD">
        <w:rPr>
          <w:rFonts w:ascii="Calibri" w:hAnsi="Calibri"/>
          <w:sz w:val="16"/>
          <w:szCs w:val="16"/>
        </w:rPr>
        <w:t xml:space="preserve"> eye drops have been shown to produce systemic beta-blockade. </w:t>
      </w:r>
      <w:proofErr w:type="spellStart"/>
      <w:r w:rsidR="004060AD">
        <w:rPr>
          <w:rFonts w:ascii="Calibri" w:hAnsi="Calibri"/>
          <w:sz w:val="16"/>
          <w:szCs w:val="16"/>
        </w:rPr>
        <w:t>Timolol</w:t>
      </w:r>
      <w:proofErr w:type="spellEnd"/>
      <w:r w:rsidR="004060AD">
        <w:rPr>
          <w:rFonts w:ascii="Calibri" w:hAnsi="Calibri"/>
          <w:sz w:val="16"/>
          <w:szCs w:val="16"/>
        </w:rPr>
        <w:t xml:space="preserve"> is metabolized by CYP2D6, and patients who are taking moderate to potent CYP2D6 inhibitors may develop higher </w:t>
      </w:r>
      <w:proofErr w:type="spellStart"/>
      <w:r w:rsidR="004060AD">
        <w:rPr>
          <w:rFonts w:ascii="Calibri" w:hAnsi="Calibri"/>
          <w:sz w:val="16"/>
          <w:szCs w:val="16"/>
        </w:rPr>
        <w:t>timolol</w:t>
      </w:r>
      <w:proofErr w:type="spellEnd"/>
      <w:r w:rsidR="004060AD">
        <w:rPr>
          <w:rFonts w:ascii="Calibri" w:hAnsi="Calibri"/>
          <w:sz w:val="16"/>
          <w:szCs w:val="16"/>
        </w:rPr>
        <w:t xml:space="preserve"> plasma concentrations following </w:t>
      </w:r>
      <w:proofErr w:type="spellStart"/>
      <w:r w:rsidR="004060AD">
        <w:rPr>
          <w:rFonts w:ascii="Calibri" w:hAnsi="Calibri"/>
          <w:sz w:val="16"/>
          <w:szCs w:val="16"/>
        </w:rPr>
        <w:t>timolol</w:t>
      </w:r>
      <w:proofErr w:type="spellEnd"/>
      <w:r w:rsidR="004060AD">
        <w:rPr>
          <w:rFonts w:ascii="Calibri" w:hAnsi="Calibri"/>
          <w:sz w:val="16"/>
          <w:szCs w:val="16"/>
        </w:rPr>
        <w:t xml:space="preserve"> ophthalmic aqueous drops. Moderate to potent CYP2D6 inhibitors include: </w:t>
      </w:r>
      <w:proofErr w:type="spellStart"/>
      <w:r w:rsidR="004060AD">
        <w:rPr>
          <w:rFonts w:ascii="Calibri" w:hAnsi="Calibri"/>
          <w:sz w:val="16"/>
          <w:szCs w:val="16"/>
        </w:rPr>
        <w:t>abiraterone</w:t>
      </w:r>
      <w:proofErr w:type="spellEnd"/>
      <w:r w:rsidR="004060AD">
        <w:rPr>
          <w:rFonts w:ascii="Calibri" w:hAnsi="Calibri"/>
          <w:sz w:val="16"/>
          <w:szCs w:val="16"/>
        </w:rPr>
        <w:t xml:space="preserve">, amiodarone, bupropion, </w:t>
      </w:r>
      <w:proofErr w:type="spellStart"/>
      <w:r w:rsidR="004060AD">
        <w:rPr>
          <w:rFonts w:ascii="Calibri" w:hAnsi="Calibri"/>
          <w:sz w:val="16"/>
          <w:szCs w:val="16"/>
        </w:rPr>
        <w:t>cinacalcet</w:t>
      </w:r>
      <w:proofErr w:type="spellEnd"/>
      <w:r w:rsidR="004060AD">
        <w:rPr>
          <w:rFonts w:ascii="Calibri" w:hAnsi="Calibri"/>
          <w:sz w:val="16"/>
          <w:szCs w:val="16"/>
        </w:rPr>
        <w:t xml:space="preserve">, </w:t>
      </w:r>
      <w:proofErr w:type="spellStart"/>
      <w:r w:rsidR="004060AD">
        <w:rPr>
          <w:rFonts w:ascii="Calibri" w:hAnsi="Calibri"/>
          <w:sz w:val="16"/>
          <w:szCs w:val="16"/>
        </w:rPr>
        <w:t>clobazam</w:t>
      </w:r>
      <w:proofErr w:type="spellEnd"/>
      <w:r w:rsidR="004060AD">
        <w:rPr>
          <w:rFonts w:ascii="Calibri" w:hAnsi="Calibri"/>
          <w:sz w:val="16"/>
          <w:szCs w:val="16"/>
        </w:rPr>
        <w:t xml:space="preserve">, diphenhydramine, duloxetine, fluoxetine, haloperidol, </w:t>
      </w:r>
      <w:proofErr w:type="spellStart"/>
      <w:r w:rsidR="004060AD">
        <w:rPr>
          <w:rFonts w:ascii="Calibri" w:hAnsi="Calibri"/>
          <w:sz w:val="16"/>
          <w:szCs w:val="16"/>
        </w:rPr>
        <w:t>mirabegron</w:t>
      </w:r>
      <w:proofErr w:type="spellEnd"/>
      <w:r w:rsidR="004060AD">
        <w:rPr>
          <w:rFonts w:ascii="Calibri" w:hAnsi="Calibri"/>
          <w:sz w:val="16"/>
          <w:szCs w:val="16"/>
        </w:rPr>
        <w:t xml:space="preserve">, paroxetine, </w:t>
      </w:r>
      <w:proofErr w:type="spellStart"/>
      <w:r w:rsidR="004060AD">
        <w:rPr>
          <w:rFonts w:ascii="Calibri" w:hAnsi="Calibri"/>
          <w:sz w:val="16"/>
          <w:szCs w:val="16"/>
        </w:rPr>
        <w:t>propafenone</w:t>
      </w:r>
      <w:proofErr w:type="spellEnd"/>
      <w:r w:rsidR="004060AD">
        <w:rPr>
          <w:rFonts w:ascii="Calibri" w:hAnsi="Calibri"/>
          <w:sz w:val="16"/>
          <w:szCs w:val="16"/>
        </w:rPr>
        <w:t xml:space="preserve">, quinidine, ritonavir, terbinafine, and </w:t>
      </w:r>
      <w:proofErr w:type="spellStart"/>
      <w:r w:rsidR="004060AD">
        <w:rPr>
          <w:rFonts w:ascii="Calibri" w:hAnsi="Calibri"/>
          <w:sz w:val="16"/>
          <w:szCs w:val="16"/>
        </w:rPr>
        <w:t>thioridazine</w:t>
      </w:r>
      <w:proofErr w:type="spellEnd"/>
      <w:r w:rsidR="004060AD">
        <w:rPr>
          <w:rFonts w:ascii="Calibri" w:hAnsi="Calibri"/>
          <w:sz w:val="16"/>
          <w:szCs w:val="16"/>
        </w:rPr>
        <w:t>.</w:t>
      </w:r>
    </w:p>
    <w:p w14:paraId="00184684" w14:textId="77777777" w:rsidR="002C31D0" w:rsidRDefault="002C31D0" w:rsidP="002C31D0">
      <w:pPr>
        <w:ind w:left="144" w:hanging="144"/>
        <w:rPr>
          <w:rFonts w:ascii="Calibri" w:hAnsi="Calibri"/>
          <w:sz w:val="16"/>
          <w:szCs w:val="16"/>
        </w:rPr>
      </w:pPr>
    </w:p>
    <w:p w14:paraId="0DF7BC99" w14:textId="77777777" w:rsidR="00D46C2E" w:rsidRDefault="00D46C2E" w:rsidP="002C31D0">
      <w:pPr>
        <w:ind w:left="144" w:hanging="144"/>
        <w:rPr>
          <w:rFonts w:ascii="Calibri" w:hAnsi="Calibri"/>
          <w:sz w:val="16"/>
          <w:szCs w:val="16"/>
        </w:rPr>
        <w:sectPr w:rsidR="00D46C2E" w:rsidSect="00333293">
          <w:type w:val="continuous"/>
          <w:pgSz w:w="24480" w:h="15840" w:orient="landscape"/>
          <w:pgMar w:top="936" w:right="936" w:bottom="936" w:left="936" w:header="720" w:footer="720" w:gutter="0"/>
          <w:cols w:num="3" w:space="432"/>
          <w:docGrid w:linePitch="360"/>
        </w:sectPr>
      </w:pPr>
    </w:p>
    <w:p w14:paraId="10692F08" w14:textId="77777777" w:rsidR="00D46C2E" w:rsidRDefault="00D46C2E" w:rsidP="00B45A2D">
      <w:pPr>
        <w:rPr>
          <w:rFonts w:ascii="Calibri" w:hAnsi="Calibri"/>
          <w:sz w:val="18"/>
          <w:szCs w:val="18"/>
        </w:rPr>
        <w:sectPr w:rsidR="00D46C2E" w:rsidSect="00B45A2D">
          <w:pgSz w:w="15840" w:h="12240" w:orient="landscape"/>
          <w:pgMar w:top="936" w:right="936" w:bottom="936" w:left="936" w:header="720" w:footer="720" w:gutter="0"/>
          <w:cols w:space="720"/>
          <w:docGrid w:linePitch="360"/>
        </w:sectPr>
      </w:pPr>
    </w:p>
    <w:p w14:paraId="38AD06CD" w14:textId="77777777" w:rsidR="008D4364" w:rsidRPr="008D4364" w:rsidRDefault="008D4364" w:rsidP="00B45A2D">
      <w:pPr>
        <w:rPr>
          <w:rFonts w:ascii="Calibri" w:hAnsi="Calibri"/>
          <w:sz w:val="18"/>
          <w:szCs w:val="18"/>
        </w:rPr>
      </w:pPr>
    </w:p>
    <w:sectPr w:rsidR="008D4364" w:rsidRPr="008D4364" w:rsidSect="00D46C2E">
      <w:type w:val="continuous"/>
      <w:pgSz w:w="15840" w:h="12240" w:orient="landscape"/>
      <w:pgMar w:top="936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2DA82" w14:textId="77777777" w:rsidR="00501351" w:rsidRDefault="00501351" w:rsidP="00A37D5A">
      <w:r>
        <w:separator/>
      </w:r>
    </w:p>
  </w:endnote>
  <w:endnote w:type="continuationSeparator" w:id="0">
    <w:p w14:paraId="64845F7A" w14:textId="77777777" w:rsidR="00501351" w:rsidRDefault="00501351" w:rsidP="00A37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22C81" w14:textId="77777777" w:rsidR="00D46C2E" w:rsidRDefault="00D46C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803FD" w14:textId="09CCFA47" w:rsidR="00A37D5A" w:rsidRPr="00A37D5A" w:rsidRDefault="00A37D5A">
    <w:pPr>
      <w:pStyle w:val="Footer"/>
      <w:rPr>
        <w:sz w:val="20"/>
        <w:szCs w:val="20"/>
      </w:rPr>
    </w:pPr>
    <w:r w:rsidRPr="00A37D5A">
      <w:rPr>
        <w:sz w:val="20"/>
        <w:szCs w:val="20"/>
      </w:rPr>
      <w:t>NIH Project</w:t>
    </w:r>
    <w:r>
      <w:rPr>
        <w:sz w:val="20"/>
        <w:szCs w:val="20"/>
      </w:rPr>
      <w:t xml:space="preserve">:  R21-HS023826-01; Title:  Individualized Drug Interaction Alerts; </w:t>
    </w:r>
    <w:bookmarkStart w:id="0" w:name="_GoBack"/>
    <w:r w:rsidR="00D46C2E" w:rsidRPr="00D46C2E">
      <w:rPr>
        <w:sz w:val="20"/>
        <w:szCs w:val="20"/>
      </w:rPr>
      <w:t xml:space="preserve">Authors: Daniel C. </w:t>
    </w:r>
    <w:proofErr w:type="gramStart"/>
    <w:r w:rsidR="00D46C2E" w:rsidRPr="00D46C2E">
      <w:rPr>
        <w:sz w:val="20"/>
        <w:szCs w:val="20"/>
      </w:rPr>
      <w:t>Malone ,</w:t>
    </w:r>
    <w:proofErr w:type="gramEnd"/>
    <w:r w:rsidR="00D46C2E" w:rsidRPr="00D46C2E">
      <w:rPr>
        <w:sz w:val="20"/>
        <w:szCs w:val="20"/>
      </w:rPr>
      <w:t xml:space="preserve"> University of Arizona; John Horn, Philip </w:t>
    </w:r>
    <w:proofErr w:type="spellStart"/>
    <w:r w:rsidR="00D46C2E" w:rsidRPr="00D46C2E">
      <w:rPr>
        <w:sz w:val="20"/>
        <w:szCs w:val="20"/>
      </w:rPr>
      <w:t>Hansten</w:t>
    </w:r>
    <w:proofErr w:type="spellEnd"/>
    <w:r w:rsidR="00D46C2E" w:rsidRPr="00D46C2E">
      <w:rPr>
        <w:sz w:val="20"/>
        <w:szCs w:val="20"/>
      </w:rPr>
      <w:t>, University of Washington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224EB" w14:textId="77777777" w:rsidR="00D46C2E" w:rsidRDefault="00D46C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75235" w14:textId="77777777" w:rsidR="00501351" w:rsidRDefault="00501351" w:rsidP="00A37D5A">
      <w:r>
        <w:separator/>
      </w:r>
    </w:p>
  </w:footnote>
  <w:footnote w:type="continuationSeparator" w:id="0">
    <w:p w14:paraId="7300FC54" w14:textId="77777777" w:rsidR="00501351" w:rsidRDefault="00501351" w:rsidP="00A37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A90F6" w14:textId="7DC62E3F" w:rsidR="00301305" w:rsidRDefault="00501351">
    <w:pPr>
      <w:pStyle w:val="Header"/>
    </w:pPr>
    <w:r>
      <w:rPr>
        <w:noProof/>
      </w:rPr>
      <w:pict w14:anchorId="0BD823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453202" o:spid="_x0000_s2050" type="#_x0000_t136" style="position:absolute;margin-left:0;margin-top:0;width:881pt;height:103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O NOT SHA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DD8D8" w14:textId="25F8D971" w:rsidR="00301305" w:rsidRDefault="00501351">
    <w:pPr>
      <w:pStyle w:val="Header"/>
    </w:pPr>
    <w:r>
      <w:rPr>
        <w:noProof/>
      </w:rPr>
      <w:pict w14:anchorId="643A27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453203" o:spid="_x0000_s2051" type="#_x0000_t136" style="position:absolute;margin-left:0;margin-top:0;width:903.05pt;height:103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O NOT SHA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AE0EA" w14:textId="251B7B5F" w:rsidR="00301305" w:rsidRDefault="00501351">
    <w:pPr>
      <w:pStyle w:val="Header"/>
    </w:pPr>
    <w:r>
      <w:rPr>
        <w:noProof/>
      </w:rPr>
      <w:pict w14:anchorId="0A34C2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453201" o:spid="_x0000_s2049" type="#_x0000_t136" style="position:absolute;margin-left:0;margin-top:0;width:881pt;height:103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O NOT SHAR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A7"/>
    <w:rsid w:val="00016EF5"/>
    <w:rsid w:val="00091411"/>
    <w:rsid w:val="000E15C2"/>
    <w:rsid w:val="000E35FE"/>
    <w:rsid w:val="00154DFA"/>
    <w:rsid w:val="0016170E"/>
    <w:rsid w:val="00161E16"/>
    <w:rsid w:val="001F687F"/>
    <w:rsid w:val="002A1478"/>
    <w:rsid w:val="002C31D0"/>
    <w:rsid w:val="00301305"/>
    <w:rsid w:val="00333293"/>
    <w:rsid w:val="003631A1"/>
    <w:rsid w:val="003A2267"/>
    <w:rsid w:val="00404A95"/>
    <w:rsid w:val="004060AD"/>
    <w:rsid w:val="0041688E"/>
    <w:rsid w:val="004475C8"/>
    <w:rsid w:val="00486FFD"/>
    <w:rsid w:val="004B5F1F"/>
    <w:rsid w:val="004E0A46"/>
    <w:rsid w:val="00501351"/>
    <w:rsid w:val="00510A05"/>
    <w:rsid w:val="00517A68"/>
    <w:rsid w:val="00580D8A"/>
    <w:rsid w:val="00592505"/>
    <w:rsid w:val="005D3BD1"/>
    <w:rsid w:val="00745A25"/>
    <w:rsid w:val="00755628"/>
    <w:rsid w:val="00771E77"/>
    <w:rsid w:val="00777A14"/>
    <w:rsid w:val="007A5059"/>
    <w:rsid w:val="007C223A"/>
    <w:rsid w:val="007D00A7"/>
    <w:rsid w:val="007E7C4C"/>
    <w:rsid w:val="00810FD4"/>
    <w:rsid w:val="00835938"/>
    <w:rsid w:val="0087693E"/>
    <w:rsid w:val="0089520A"/>
    <w:rsid w:val="008A2274"/>
    <w:rsid w:val="008D4364"/>
    <w:rsid w:val="008D54A1"/>
    <w:rsid w:val="008E438A"/>
    <w:rsid w:val="008E49D3"/>
    <w:rsid w:val="00930D71"/>
    <w:rsid w:val="009549BF"/>
    <w:rsid w:val="0098105D"/>
    <w:rsid w:val="00A309F2"/>
    <w:rsid w:val="00A37D5A"/>
    <w:rsid w:val="00A47C7A"/>
    <w:rsid w:val="00A648D0"/>
    <w:rsid w:val="00AC0301"/>
    <w:rsid w:val="00AE0BAF"/>
    <w:rsid w:val="00B13EBD"/>
    <w:rsid w:val="00B26918"/>
    <w:rsid w:val="00B45A2D"/>
    <w:rsid w:val="00BA0879"/>
    <w:rsid w:val="00BB6253"/>
    <w:rsid w:val="00BD7E4E"/>
    <w:rsid w:val="00BE7A1D"/>
    <w:rsid w:val="00BF13F6"/>
    <w:rsid w:val="00BF3A0D"/>
    <w:rsid w:val="00C37A9E"/>
    <w:rsid w:val="00C435F7"/>
    <w:rsid w:val="00C45300"/>
    <w:rsid w:val="00C46B53"/>
    <w:rsid w:val="00C70E6F"/>
    <w:rsid w:val="00CA6FE4"/>
    <w:rsid w:val="00CB3490"/>
    <w:rsid w:val="00CC038B"/>
    <w:rsid w:val="00D042D8"/>
    <w:rsid w:val="00D131AB"/>
    <w:rsid w:val="00D46C2E"/>
    <w:rsid w:val="00D5183D"/>
    <w:rsid w:val="00D72D69"/>
    <w:rsid w:val="00E54699"/>
    <w:rsid w:val="00E77260"/>
    <w:rsid w:val="00E848E7"/>
    <w:rsid w:val="00E86725"/>
    <w:rsid w:val="00EF67AC"/>
    <w:rsid w:val="00F04171"/>
    <w:rsid w:val="00F04181"/>
    <w:rsid w:val="00F227B4"/>
    <w:rsid w:val="00F26850"/>
    <w:rsid w:val="00F570DE"/>
    <w:rsid w:val="00F859C0"/>
    <w:rsid w:val="00F92245"/>
    <w:rsid w:val="00FA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74B5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7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D5A"/>
  </w:style>
  <w:style w:type="paragraph" w:styleId="Footer">
    <w:name w:val="footer"/>
    <w:basedOn w:val="Normal"/>
    <w:link w:val="FooterChar"/>
    <w:uiPriority w:val="99"/>
    <w:unhideWhenUsed/>
    <w:rsid w:val="00A37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D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7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D5A"/>
  </w:style>
  <w:style w:type="paragraph" w:styleId="Footer">
    <w:name w:val="footer"/>
    <w:basedOn w:val="Normal"/>
    <w:link w:val="FooterChar"/>
    <w:uiPriority w:val="99"/>
    <w:unhideWhenUsed/>
    <w:rsid w:val="00A37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759B7-2E10-4400-8912-FC13E95C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Hansten</dc:creator>
  <cp:keywords/>
  <dc:description/>
  <cp:lastModifiedBy>Lizzy</cp:lastModifiedBy>
  <cp:revision>8</cp:revision>
  <cp:lastPrinted>2016-07-27T16:17:00Z</cp:lastPrinted>
  <dcterms:created xsi:type="dcterms:W3CDTF">2015-09-03T21:08:00Z</dcterms:created>
  <dcterms:modified xsi:type="dcterms:W3CDTF">2016-07-27T16:18:00Z</dcterms:modified>
</cp:coreProperties>
</file>