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4A60" w14:textId="6ADD9CB4" w:rsidR="00BF13F6" w:rsidRPr="00CE2944" w:rsidRDefault="002B0453" w:rsidP="005C1B31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Atorvastatin or Lovastatin</w:t>
      </w:r>
      <w:r w:rsidR="00E04FCD">
        <w:rPr>
          <w:rFonts w:ascii="Calibri" w:hAnsi="Calibri"/>
          <w:b/>
          <w:sz w:val="28"/>
          <w:szCs w:val="28"/>
        </w:rPr>
        <w:t xml:space="preserve"> or</w:t>
      </w:r>
      <w:r w:rsidR="00E04FCD" w:rsidRPr="00E04FCD">
        <w:rPr>
          <w:rFonts w:ascii="Calibri" w:hAnsi="Calibri"/>
          <w:b/>
          <w:sz w:val="28"/>
          <w:szCs w:val="28"/>
        </w:rPr>
        <w:t xml:space="preserve"> </w:t>
      </w:r>
      <w:r w:rsidR="00E04FCD">
        <w:rPr>
          <w:rFonts w:ascii="Calibri" w:hAnsi="Calibri"/>
          <w:b/>
          <w:sz w:val="28"/>
          <w:szCs w:val="28"/>
        </w:rPr>
        <w:t>Simvastatin</w:t>
      </w:r>
      <w:r w:rsidR="005C1B31" w:rsidRPr="00CE2944">
        <w:rPr>
          <w:rFonts w:ascii="Calibri" w:hAnsi="Calibri"/>
          <w:b/>
          <w:sz w:val="28"/>
          <w:szCs w:val="28"/>
        </w:rPr>
        <w:t xml:space="preserve"> + </w:t>
      </w:r>
      <w:r w:rsidR="003A2088">
        <w:rPr>
          <w:rFonts w:ascii="Calibri" w:hAnsi="Calibri"/>
          <w:b/>
          <w:sz w:val="28"/>
          <w:szCs w:val="28"/>
        </w:rPr>
        <w:t>Clarithromycin</w:t>
      </w:r>
      <w:bookmarkStart w:id="0" w:name="_GoBack"/>
      <w:bookmarkEnd w:id="0"/>
    </w:p>
    <w:p w14:paraId="42872F6B" w14:textId="77777777" w:rsidR="00021FB8" w:rsidRDefault="00021FB8" w:rsidP="001323ED">
      <w:pPr>
        <w:spacing w:line="220" w:lineRule="exact"/>
        <w:rPr>
          <w:rFonts w:ascii="Calibri" w:hAnsi="Calibri"/>
          <w:sz w:val="22"/>
          <w:szCs w:val="22"/>
        </w:rPr>
      </w:pPr>
    </w:p>
    <w:p w14:paraId="5732F9E8" w14:textId="51152F79" w:rsidR="00021FB8" w:rsidRPr="001323ED" w:rsidRDefault="00021FB8" w:rsidP="001323ED">
      <w:pPr>
        <w:spacing w:line="22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Simvastatin, atorv</w:t>
      </w:r>
      <w:r w:rsidR="00E04FCD">
        <w:rPr>
          <w:rFonts w:ascii="Calibri" w:hAnsi="Calibri"/>
          <w:sz w:val="22"/>
          <w:szCs w:val="22"/>
        </w:rPr>
        <w:t>astatin, and lovastatin are</w:t>
      </w:r>
      <w:r>
        <w:rPr>
          <w:rFonts w:ascii="Calibri" w:hAnsi="Calibri"/>
          <w:sz w:val="22"/>
          <w:szCs w:val="22"/>
        </w:rPr>
        <w:t xml:space="preserve"> HMG-CoA Reductase Inhibitors used to treat hyperlipidemia. To differing extent, these medications are metabolized by the CYP3A4 and are somewhat dependent on the SLCO1B1 (OATP1B1) transporter</w:t>
      </w:r>
      <w:r w:rsidR="00E04FCD">
        <w:rPr>
          <w:rFonts w:ascii="Calibri" w:hAnsi="Calibri"/>
          <w:sz w:val="22"/>
          <w:szCs w:val="22"/>
        </w:rPr>
        <w:t xml:space="preserve"> for hepatic uptake</w:t>
      </w:r>
      <w:r>
        <w:rPr>
          <w:rFonts w:ascii="Calibri" w:hAnsi="Calibri"/>
          <w:sz w:val="22"/>
          <w:szCs w:val="22"/>
        </w:rPr>
        <w:t>. Clarithromycin inhibits both the CYP3A4</w:t>
      </w:r>
      <w:r w:rsidR="00C8214E">
        <w:rPr>
          <w:rFonts w:ascii="Calibri" w:hAnsi="Calibri"/>
          <w:sz w:val="22"/>
          <w:szCs w:val="22"/>
        </w:rPr>
        <w:t xml:space="preserve"> enzyme</w:t>
      </w:r>
      <w:r>
        <w:rPr>
          <w:rFonts w:ascii="Calibri" w:hAnsi="Calibri"/>
          <w:sz w:val="22"/>
          <w:szCs w:val="22"/>
        </w:rPr>
        <w:t xml:space="preserve"> and the SLCO1</w:t>
      </w:r>
      <w:r w:rsidR="00CB7F57">
        <w:rPr>
          <w:rFonts w:ascii="Calibri" w:hAnsi="Calibri"/>
          <w:sz w:val="22"/>
          <w:szCs w:val="22"/>
        </w:rPr>
        <w:t>B1 transporter. This leads to reduced clearance and increased</w:t>
      </w:r>
      <w:r>
        <w:rPr>
          <w:rFonts w:ascii="Calibri" w:hAnsi="Calibri"/>
          <w:sz w:val="22"/>
          <w:szCs w:val="22"/>
        </w:rPr>
        <w:t xml:space="preserve"> serum concentration of simvastati</w:t>
      </w:r>
      <w:r w:rsidR="00E04FCD">
        <w:rPr>
          <w:rFonts w:ascii="Calibri" w:hAnsi="Calibri"/>
          <w:sz w:val="22"/>
          <w:szCs w:val="22"/>
        </w:rPr>
        <w:t xml:space="preserve">n, atorvastatin, and lovastatin </w:t>
      </w:r>
      <w:r w:rsidR="001A5EFF">
        <w:rPr>
          <w:rFonts w:ascii="Calibri" w:hAnsi="Calibri"/>
          <w:sz w:val="22"/>
          <w:szCs w:val="22"/>
        </w:rPr>
        <w:t>that may lead to myopathy</w:t>
      </w:r>
      <w:r w:rsidR="00E04FCD">
        <w:rPr>
          <w:rFonts w:ascii="Calibri" w:hAnsi="Calibri"/>
          <w:sz w:val="22"/>
          <w:szCs w:val="22"/>
        </w:rPr>
        <w:t xml:space="preserve"> including rhabdomyolysis. </w:t>
      </w:r>
    </w:p>
    <w:p w14:paraId="652551A3" w14:textId="77777777" w:rsidR="001323ED" w:rsidRPr="001323ED" w:rsidRDefault="001323E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38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0"/>
        <w:gridCol w:w="2520"/>
        <w:gridCol w:w="2520"/>
        <w:gridCol w:w="2250"/>
        <w:gridCol w:w="2250"/>
      </w:tblGrid>
      <w:tr w:rsidR="00EE473A" w:rsidRPr="00CE2944" w14:paraId="4C3CD267" w14:textId="77777777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2FED59AE" w14:textId="4A5E61A0" w:rsidR="00870666" w:rsidRDefault="00870666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HMG-CoA Reductase Inhibitors</w:t>
            </w:r>
          </w:p>
        </w:tc>
        <w:tc>
          <w:tcPr>
            <w:tcW w:w="5040" w:type="dxa"/>
            <w:gridSpan w:val="2"/>
            <w:tcBorders>
              <w:left w:val="thinThickSmallGap" w:sz="24" w:space="0" w:color="auto"/>
            </w:tcBorders>
          </w:tcPr>
          <w:p w14:paraId="3CE165C6" w14:textId="353C212F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Atorvastatin</w:t>
            </w:r>
          </w:p>
        </w:tc>
        <w:tc>
          <w:tcPr>
            <w:tcW w:w="2250" w:type="dxa"/>
          </w:tcPr>
          <w:p w14:paraId="2C1F510C" w14:textId="590D9D88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Lovastatin</w:t>
            </w:r>
          </w:p>
        </w:tc>
        <w:tc>
          <w:tcPr>
            <w:tcW w:w="2250" w:type="dxa"/>
          </w:tcPr>
          <w:p w14:paraId="00F82F57" w14:textId="72A386D0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Simvastatin</w:t>
            </w:r>
          </w:p>
        </w:tc>
      </w:tr>
      <w:tr w:rsidR="00EE473A" w:rsidRPr="00CE2944" w14:paraId="5D3A5EB2" w14:textId="77777777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5343F4FC" w14:textId="3F993119" w:rsidR="00870666" w:rsidRDefault="00870666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Dose of atorvastatin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711A3BD7" w14:textId="34CB1BFC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Less </w:t>
            </w:r>
            <w:r w:rsidR="00C8214E">
              <w:rPr>
                <w:rFonts w:ascii="Calibri" w:hAnsi="Calibri"/>
                <w:sz w:val="22"/>
                <w:szCs w:val="22"/>
              </w:rPr>
              <w:t xml:space="preserve">than </w:t>
            </w:r>
            <w:r>
              <w:rPr>
                <w:rFonts w:ascii="Calibri" w:hAnsi="Calibri"/>
                <w:sz w:val="22"/>
                <w:szCs w:val="22"/>
              </w:rPr>
              <w:t>or equal to 20 mg/day</w:t>
            </w:r>
          </w:p>
        </w:tc>
        <w:tc>
          <w:tcPr>
            <w:tcW w:w="2520" w:type="dxa"/>
          </w:tcPr>
          <w:p w14:paraId="52AE1E28" w14:textId="33EDD901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Greater than 20 mg/day</w:t>
            </w:r>
          </w:p>
        </w:tc>
        <w:tc>
          <w:tcPr>
            <w:tcW w:w="2250" w:type="dxa"/>
          </w:tcPr>
          <w:p w14:paraId="0E023AC6" w14:textId="77777777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6768E36" w14:textId="440EFCBA" w:rsidR="00870666" w:rsidRDefault="00870666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E473A" w:rsidRPr="00CE2944" w14:paraId="5E0F5555" w14:textId="24D39185" w:rsidTr="00EE473A">
        <w:trPr>
          <w:trHeight w:val="251"/>
        </w:trPr>
        <w:tc>
          <w:tcPr>
            <w:tcW w:w="4260" w:type="dxa"/>
            <w:tcBorders>
              <w:right w:val="thinThickSmallGap" w:sz="24" w:space="0" w:color="auto"/>
            </w:tcBorders>
          </w:tcPr>
          <w:p w14:paraId="63B9D984" w14:textId="64525A65" w:rsidR="00915969" w:rsidRPr="00CE2944" w:rsidRDefault="00870666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Any dose of lovastatin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6BDA8E18" w14:textId="153D1B39" w:rsidR="00915969" w:rsidRPr="00CE2944" w:rsidRDefault="00915969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5D0B4D5" w14:textId="77777777" w:rsidR="00915969" w:rsidRDefault="00915969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A8A1333" w14:textId="05C2041F" w:rsidR="00915969" w:rsidRPr="00CE2944" w:rsidRDefault="00915969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38267E4" w14:textId="2E1F6713" w:rsidR="00915969" w:rsidRPr="00CE2944" w:rsidRDefault="00915969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E473A" w:rsidRPr="00CE2944" w14:paraId="7E75E70C" w14:textId="54564DAB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0D497480" w14:textId="56DEFA43" w:rsidR="000C6C0C" w:rsidRPr="008E3B37" w:rsidRDefault="000C6C0C" w:rsidP="00546AF6">
            <w:pPr>
              <w:pStyle w:val="ListParagraph"/>
              <w:spacing w:line="220" w:lineRule="exact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Any dose of simvastatin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56070513" w14:textId="77777777" w:rsidR="000C6C0C" w:rsidRPr="00CE2944" w:rsidRDefault="000C6C0C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EA07A51" w14:textId="77777777" w:rsidR="000C6C0C" w:rsidRPr="00CE2944" w:rsidRDefault="000C6C0C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65A9B0B" w14:textId="02B61717" w:rsidR="000C6C0C" w:rsidRPr="00CE2944" w:rsidRDefault="000C6C0C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CFAD97A" w14:textId="637BDB11" w:rsidR="000C6C0C" w:rsidRPr="00CE2944" w:rsidRDefault="000C6C0C" w:rsidP="000C6C0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E473A" w:rsidRPr="00CE2944" w14:paraId="347EB912" w14:textId="77777777" w:rsidTr="00EE473A">
        <w:tc>
          <w:tcPr>
            <w:tcW w:w="426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303876C3" w14:textId="23321885" w:rsidR="001A5EFF" w:rsidRPr="00CE2944" w:rsidRDefault="001A5EFF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atorvastatin side effects unlikely</w:t>
            </w:r>
          </w:p>
        </w:tc>
        <w:tc>
          <w:tcPr>
            <w:tcW w:w="252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130F2A2" w14:textId="15E8CCBA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18"/>
                <w:szCs w:val="18"/>
              </w:rPr>
              <w:t>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520" w:type="dxa"/>
            <w:tcBorders>
              <w:top w:val="thinThickSmallGap" w:sz="24" w:space="0" w:color="auto"/>
            </w:tcBorders>
          </w:tcPr>
          <w:p w14:paraId="5BAAA5E4" w14:textId="77777777" w:rsidR="001A5EFF" w:rsidRPr="000E477B" w:rsidRDefault="001A5EFF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4DD8D185" w14:textId="16191796" w:rsidR="001A5EFF" w:rsidRPr="000E477B" w:rsidRDefault="001A5EFF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thinThickSmallGap" w:sz="24" w:space="0" w:color="auto"/>
            </w:tcBorders>
          </w:tcPr>
          <w:p w14:paraId="11EABCA7" w14:textId="358F4523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EE473A" w:rsidRPr="00CE2944" w14:paraId="475B0AAE" w14:textId="77777777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54B567CE" w14:textId="05DBA465" w:rsidR="001A5EFF" w:rsidRDefault="001A5EFF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atorvastatin side effects likely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4E5C3F06" w14:textId="77777777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</w:tcPr>
          <w:p w14:paraId="43EAA651" w14:textId="52B3CE31" w:rsidR="001A5EFF" w:rsidRPr="000E477B" w:rsidRDefault="00C8214E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20"/>
                <w:szCs w:val="20"/>
              </w:rPr>
              <w:t>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BFB42CD" w14:textId="77777777" w:rsidR="001A5EFF" w:rsidRPr="000E477B" w:rsidRDefault="001A5EFF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1460C85" w14:textId="77777777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EE473A" w:rsidRPr="00CE2944" w14:paraId="1E01E217" w14:textId="77777777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7C8EA56D" w14:textId="690C5687" w:rsidR="001A5EFF" w:rsidRPr="00CE2944" w:rsidRDefault="001A5EFF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Increased </w:t>
            </w:r>
            <w:r w:rsidR="00EE473A">
              <w:rPr>
                <w:rFonts w:ascii="Calibri" w:hAnsi="Calibri"/>
                <w:sz w:val="22"/>
                <w:szCs w:val="22"/>
              </w:rPr>
              <w:t>lovastatin side effects</w:t>
            </w:r>
            <w:r>
              <w:rPr>
                <w:rFonts w:ascii="Calibri" w:hAnsi="Calibri"/>
                <w:sz w:val="22"/>
                <w:szCs w:val="22"/>
              </w:rPr>
              <w:t xml:space="preserve"> likely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076D4827" w14:textId="77777777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</w:tcPr>
          <w:p w14:paraId="050CD964" w14:textId="77777777" w:rsidR="001A5EFF" w:rsidRPr="000E477B" w:rsidRDefault="001A5EFF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675B5E5" w14:textId="0B9DC9EA" w:rsidR="001A5EFF" w:rsidRPr="000E477B" w:rsidRDefault="00754EFB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18"/>
                <w:szCs w:val="18"/>
              </w:rPr>
              <w:t>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50" w:type="dxa"/>
          </w:tcPr>
          <w:p w14:paraId="6CCFCEBB" w14:textId="104EF398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EE473A" w:rsidRPr="00CE2944" w14:paraId="7A171E5E" w14:textId="77777777" w:rsidTr="00EE473A">
        <w:tc>
          <w:tcPr>
            <w:tcW w:w="4260" w:type="dxa"/>
            <w:tcBorders>
              <w:right w:val="thinThickSmallGap" w:sz="24" w:space="0" w:color="auto"/>
            </w:tcBorders>
          </w:tcPr>
          <w:p w14:paraId="494B4035" w14:textId="3FE3D3BF" w:rsidR="001A5EFF" w:rsidRPr="00CE2944" w:rsidRDefault="001A5EFF" w:rsidP="00C308CE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</w:t>
            </w:r>
            <w:r w:rsidR="00EE473A">
              <w:rPr>
                <w:rFonts w:ascii="Calibri" w:hAnsi="Calibri"/>
                <w:sz w:val="22"/>
                <w:szCs w:val="22"/>
              </w:rPr>
              <w:t>ed simvastatin side effects</w:t>
            </w:r>
            <w:r>
              <w:rPr>
                <w:rFonts w:ascii="Calibri" w:hAnsi="Calibri"/>
                <w:sz w:val="22"/>
                <w:szCs w:val="22"/>
              </w:rPr>
              <w:t xml:space="preserve"> likely </w:t>
            </w:r>
          </w:p>
        </w:tc>
        <w:tc>
          <w:tcPr>
            <w:tcW w:w="2520" w:type="dxa"/>
            <w:tcBorders>
              <w:left w:val="thinThickSmallGap" w:sz="24" w:space="0" w:color="auto"/>
            </w:tcBorders>
          </w:tcPr>
          <w:p w14:paraId="66EAFF67" w14:textId="77777777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</w:tcPr>
          <w:p w14:paraId="6D2EA599" w14:textId="77777777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054FD90" w14:textId="58FC96B6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379073C6" w14:textId="5A418C52" w:rsidR="001A5EFF" w:rsidRPr="000E477B" w:rsidRDefault="001A5EFF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18"/>
                <w:szCs w:val="18"/>
              </w:rPr>
              <w:t></w:t>
            </w:r>
            <w:r w:rsidR="00754EFB">
              <w:rPr>
                <w:rFonts w:ascii="Calibri" w:hAnsi="Calibri"/>
                <w:sz w:val="18"/>
                <w:szCs w:val="18"/>
                <w:vertAlign w:val="superscript"/>
              </w:rPr>
              <w:t>2</w:t>
            </w:r>
          </w:p>
        </w:tc>
      </w:tr>
    </w:tbl>
    <w:p w14:paraId="3674E399" w14:textId="3495789F" w:rsidR="005C1B31" w:rsidRPr="000E477B" w:rsidRDefault="00CE2944">
      <w:pPr>
        <w:rPr>
          <w:rFonts w:ascii="Calibri" w:hAnsi="Calibri"/>
          <w:sz w:val="20"/>
          <w:szCs w:val="20"/>
        </w:rPr>
      </w:pPr>
      <w:r w:rsidRPr="000E477B">
        <w:rPr>
          <w:rFonts w:ascii="Wingdings" w:hAnsi="Wingdings"/>
          <w:color w:val="20D71A"/>
          <w:sz w:val="20"/>
          <w:szCs w:val="20"/>
        </w:rPr>
        <w:t>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Calibri" w:hAnsi="Calibri"/>
          <w:sz w:val="20"/>
          <w:szCs w:val="20"/>
        </w:rPr>
        <w:t xml:space="preserve">= No special precautions.  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Wingdings" w:hAnsi="Wingdings"/>
          <w:color w:val="FCC00A"/>
          <w:sz w:val="20"/>
          <w:szCs w:val="20"/>
        </w:rPr>
        <w:t></w:t>
      </w:r>
      <w:r w:rsidRPr="000E477B">
        <w:rPr>
          <w:rFonts w:ascii="Calibri" w:hAnsi="Calibri"/>
          <w:sz w:val="20"/>
          <w:szCs w:val="20"/>
        </w:rPr>
        <w:t xml:space="preserve"> = Assess risk and take action if necessary.</w:t>
      </w:r>
      <w:r w:rsidR="00870666">
        <w:rPr>
          <w:rFonts w:ascii="Calibri" w:hAnsi="Calibri"/>
          <w:color w:val="FF0080"/>
          <w:sz w:val="20"/>
          <w:szCs w:val="20"/>
        </w:rPr>
        <w:t></w:t>
      </w:r>
      <w:r w:rsidRPr="000E477B">
        <w:rPr>
          <w:rFonts w:ascii="Calibri" w:hAnsi="Calibri"/>
          <w:color w:val="FF0080"/>
          <w:sz w:val="20"/>
          <w:szCs w:val="20"/>
        </w:rPr>
        <w:t xml:space="preserve"> </w:t>
      </w:r>
      <w:r w:rsidRPr="000E477B">
        <w:rPr>
          <w:rFonts w:ascii="Wingdings" w:hAnsi="Wingdings"/>
          <w:color w:val="FF0080"/>
          <w:sz w:val="20"/>
          <w:szCs w:val="20"/>
        </w:rPr>
        <w:t></w:t>
      </w:r>
      <w:r w:rsidRPr="000E477B">
        <w:rPr>
          <w:rFonts w:ascii="Calibri" w:hAnsi="Calibri"/>
          <w:sz w:val="20"/>
          <w:szCs w:val="20"/>
        </w:rPr>
        <w:t xml:space="preserve"> = Use only if benefit outweighs risk</w:t>
      </w:r>
    </w:p>
    <w:p w14:paraId="3D4C3A60" w14:textId="77777777" w:rsidR="00B055D5" w:rsidRPr="00B055D5" w:rsidRDefault="00B055D5">
      <w:pPr>
        <w:rPr>
          <w:rFonts w:ascii="Calibri" w:hAnsi="Calibri"/>
          <w:sz w:val="18"/>
          <w:szCs w:val="18"/>
        </w:rPr>
      </w:pPr>
    </w:p>
    <w:p w14:paraId="30684DE4" w14:textId="77777777" w:rsidR="00CE2944" w:rsidRPr="00CE2944" w:rsidRDefault="00CE2944">
      <w:pPr>
        <w:rPr>
          <w:rFonts w:ascii="Calibri" w:hAnsi="Calibri"/>
          <w:sz w:val="22"/>
          <w:szCs w:val="22"/>
        </w:rPr>
        <w:sectPr w:rsidR="00CE2944" w:rsidRPr="00CE2944" w:rsidSect="005C1B31">
          <w:headerReference w:type="even" r:id="rId9"/>
          <w:headerReference w:type="default" r:id="rId10"/>
          <w:footerReference w:type="default" r:id="rId11"/>
          <w:headerReference w:type="first" r:id="rId12"/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  <w:r w:rsidRPr="001C56B0">
        <w:rPr>
          <w:rFonts w:ascii="Calibri" w:hAnsi="Calibri"/>
          <w:b/>
          <w:sz w:val="22"/>
          <w:szCs w:val="22"/>
        </w:rPr>
        <w:t>Footnotes</w:t>
      </w:r>
      <w:r w:rsidRPr="00CE2944">
        <w:rPr>
          <w:rFonts w:ascii="Calibri" w:hAnsi="Calibri"/>
          <w:sz w:val="22"/>
          <w:szCs w:val="22"/>
        </w:rPr>
        <w:t>:</w:t>
      </w:r>
    </w:p>
    <w:p w14:paraId="7BB85D23" w14:textId="1958772C" w:rsidR="00546AF6" w:rsidRDefault="00915969" w:rsidP="00672F87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1.</w:t>
      </w:r>
      <w:r w:rsidR="00911BB0">
        <w:rPr>
          <w:rFonts w:ascii="Calibri" w:hAnsi="Calibri"/>
          <w:sz w:val="20"/>
          <w:szCs w:val="20"/>
        </w:rPr>
        <w:t xml:space="preserve"> </w:t>
      </w:r>
      <w:r w:rsidR="00114E11">
        <w:rPr>
          <w:rFonts w:ascii="Calibri" w:hAnsi="Calibri"/>
          <w:sz w:val="20"/>
          <w:szCs w:val="20"/>
        </w:rPr>
        <w:t xml:space="preserve">Atorvastatin </w:t>
      </w:r>
      <w:r w:rsidR="005B58A6">
        <w:rPr>
          <w:rFonts w:ascii="Calibri" w:hAnsi="Calibri"/>
          <w:sz w:val="20"/>
          <w:szCs w:val="20"/>
        </w:rPr>
        <w:t xml:space="preserve">has been examined </w:t>
      </w:r>
      <w:r w:rsidR="00114E11">
        <w:rPr>
          <w:rFonts w:ascii="Calibri" w:hAnsi="Calibri"/>
          <w:sz w:val="20"/>
          <w:szCs w:val="20"/>
        </w:rPr>
        <w:t>with</w:t>
      </w:r>
      <w:r w:rsidR="005B58A6">
        <w:rPr>
          <w:rFonts w:ascii="Calibri" w:hAnsi="Calibri"/>
          <w:sz w:val="20"/>
          <w:szCs w:val="20"/>
        </w:rPr>
        <w:t xml:space="preserve"> concomitant use of</w:t>
      </w:r>
      <w:r w:rsidR="00114E11">
        <w:rPr>
          <w:rFonts w:ascii="Calibri" w:hAnsi="Calibri"/>
          <w:sz w:val="20"/>
          <w:szCs w:val="20"/>
        </w:rPr>
        <w:t xml:space="preserve"> </w:t>
      </w:r>
      <w:r w:rsidR="005B58A6">
        <w:rPr>
          <w:rFonts w:ascii="Calibri" w:hAnsi="Calibri"/>
          <w:sz w:val="20"/>
          <w:szCs w:val="20"/>
        </w:rPr>
        <w:t>azithromycin, clarithromycin, and erythromycin. W</w:t>
      </w:r>
      <w:r w:rsidR="00114E11">
        <w:rPr>
          <w:rFonts w:ascii="Calibri" w:hAnsi="Calibri"/>
          <w:sz w:val="20"/>
          <w:szCs w:val="20"/>
        </w:rPr>
        <w:t>hile serum concentrations</w:t>
      </w:r>
      <w:r w:rsidR="00C8214E">
        <w:rPr>
          <w:rFonts w:ascii="Calibri" w:hAnsi="Calibri"/>
          <w:sz w:val="20"/>
          <w:szCs w:val="20"/>
        </w:rPr>
        <w:t xml:space="preserve"> significantly</w:t>
      </w:r>
      <w:r w:rsidR="00114E11">
        <w:rPr>
          <w:rFonts w:ascii="Calibri" w:hAnsi="Calibri"/>
          <w:sz w:val="20"/>
          <w:szCs w:val="20"/>
        </w:rPr>
        <w:t xml:space="preserve"> increase, doses less than 20 mg/day seem unlikely to result in severe myopathies or rhabdomyolysis. </w:t>
      </w:r>
      <w:r w:rsidR="00754EFB">
        <w:rPr>
          <w:rFonts w:ascii="Calibri" w:hAnsi="Calibri"/>
          <w:sz w:val="20"/>
          <w:szCs w:val="20"/>
        </w:rPr>
        <w:t>Reducing dose to 20 mg/day or less and a</w:t>
      </w:r>
      <w:r w:rsidR="00114E11">
        <w:rPr>
          <w:rFonts w:ascii="Calibri" w:hAnsi="Calibri"/>
          <w:sz w:val="20"/>
          <w:szCs w:val="20"/>
        </w:rPr>
        <w:t>dditional monitoring for atorvastatin toxicity is recommended if this combination is used. (</w:t>
      </w:r>
      <w:proofErr w:type="spellStart"/>
      <w:r w:rsidR="00114E11">
        <w:rPr>
          <w:rFonts w:ascii="Calibri" w:hAnsi="Calibri"/>
          <w:sz w:val="20"/>
          <w:szCs w:val="20"/>
        </w:rPr>
        <w:t>Amsden</w:t>
      </w:r>
      <w:proofErr w:type="spellEnd"/>
      <w:r w:rsidR="00114E11">
        <w:rPr>
          <w:rFonts w:ascii="Calibri" w:hAnsi="Calibri"/>
          <w:sz w:val="20"/>
          <w:szCs w:val="20"/>
        </w:rPr>
        <w:t xml:space="preserve"> et al.</w:t>
      </w:r>
      <w:r w:rsidR="005B58A6">
        <w:rPr>
          <w:rFonts w:ascii="Calibri" w:hAnsi="Calibri"/>
          <w:sz w:val="20"/>
          <w:szCs w:val="20"/>
        </w:rPr>
        <w:t xml:space="preserve"> J </w:t>
      </w:r>
      <w:proofErr w:type="spellStart"/>
      <w:r w:rsidR="005B58A6">
        <w:rPr>
          <w:rFonts w:ascii="Calibri" w:hAnsi="Calibri"/>
          <w:sz w:val="20"/>
          <w:szCs w:val="20"/>
        </w:rPr>
        <w:t>Clin</w:t>
      </w:r>
      <w:proofErr w:type="spellEnd"/>
      <w:r w:rsidR="005B58A6">
        <w:rPr>
          <w:rFonts w:ascii="Calibri" w:hAnsi="Calibri"/>
          <w:sz w:val="20"/>
          <w:szCs w:val="20"/>
        </w:rPr>
        <w:t xml:space="preserve"> </w:t>
      </w:r>
      <w:proofErr w:type="spellStart"/>
      <w:r w:rsidR="005B58A6">
        <w:rPr>
          <w:rFonts w:ascii="Calibri" w:hAnsi="Calibri"/>
          <w:sz w:val="20"/>
          <w:szCs w:val="20"/>
        </w:rPr>
        <w:t>Pharmacol</w:t>
      </w:r>
      <w:proofErr w:type="spellEnd"/>
      <w:r w:rsidR="005B58A6">
        <w:rPr>
          <w:rFonts w:ascii="Calibri" w:hAnsi="Calibri"/>
          <w:sz w:val="20"/>
          <w:szCs w:val="20"/>
        </w:rPr>
        <w:t>.</w:t>
      </w:r>
      <w:r w:rsidR="00114E11">
        <w:rPr>
          <w:rFonts w:ascii="Calibri" w:hAnsi="Calibri"/>
          <w:sz w:val="20"/>
          <w:szCs w:val="20"/>
        </w:rPr>
        <w:t xml:space="preserve"> 2002; 42(4):444-449) (</w:t>
      </w:r>
      <w:proofErr w:type="spellStart"/>
      <w:r w:rsidR="00114E11">
        <w:rPr>
          <w:rFonts w:ascii="Calibri" w:hAnsi="Calibri"/>
          <w:sz w:val="20"/>
          <w:szCs w:val="20"/>
        </w:rPr>
        <w:t>Siedlik</w:t>
      </w:r>
      <w:proofErr w:type="spellEnd"/>
      <w:r w:rsidR="00114E11">
        <w:rPr>
          <w:rFonts w:ascii="Calibri" w:hAnsi="Calibri"/>
          <w:sz w:val="20"/>
          <w:szCs w:val="20"/>
        </w:rPr>
        <w:t xml:space="preserve"> et al. </w:t>
      </w:r>
      <w:r w:rsidR="005B58A6">
        <w:rPr>
          <w:rFonts w:ascii="Calibri" w:hAnsi="Calibri"/>
          <w:sz w:val="20"/>
          <w:szCs w:val="20"/>
        </w:rPr>
        <w:t xml:space="preserve">J </w:t>
      </w:r>
      <w:proofErr w:type="spellStart"/>
      <w:r w:rsidR="005B58A6">
        <w:rPr>
          <w:rFonts w:ascii="Calibri" w:hAnsi="Calibri"/>
          <w:sz w:val="20"/>
          <w:szCs w:val="20"/>
        </w:rPr>
        <w:t>Clin</w:t>
      </w:r>
      <w:proofErr w:type="spellEnd"/>
      <w:r w:rsidR="005B58A6">
        <w:rPr>
          <w:rFonts w:ascii="Calibri" w:hAnsi="Calibri"/>
          <w:sz w:val="20"/>
          <w:szCs w:val="20"/>
        </w:rPr>
        <w:t xml:space="preserve"> </w:t>
      </w:r>
      <w:proofErr w:type="spellStart"/>
      <w:r w:rsidR="005B58A6">
        <w:rPr>
          <w:rFonts w:ascii="Calibri" w:hAnsi="Calibri"/>
          <w:sz w:val="20"/>
          <w:szCs w:val="20"/>
        </w:rPr>
        <w:t>Pharmacol</w:t>
      </w:r>
      <w:proofErr w:type="spellEnd"/>
      <w:r w:rsidR="005B58A6">
        <w:rPr>
          <w:rFonts w:ascii="Calibri" w:hAnsi="Calibri"/>
          <w:sz w:val="20"/>
          <w:szCs w:val="20"/>
        </w:rPr>
        <w:t xml:space="preserve">. </w:t>
      </w:r>
      <w:r w:rsidR="00114E11">
        <w:rPr>
          <w:rFonts w:ascii="Calibri" w:hAnsi="Calibri"/>
          <w:sz w:val="20"/>
          <w:szCs w:val="20"/>
        </w:rPr>
        <w:t>1999; 39(5): 501-504)</w:t>
      </w:r>
    </w:p>
    <w:p w14:paraId="1526266C" w14:textId="006FDA23" w:rsidR="001C56B0" w:rsidRDefault="00672F87" w:rsidP="00C8214E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2.</w:t>
      </w:r>
      <w:r w:rsidR="00754EFB">
        <w:rPr>
          <w:rFonts w:ascii="Calibri" w:hAnsi="Calibri"/>
          <w:sz w:val="20"/>
          <w:szCs w:val="20"/>
        </w:rPr>
        <w:t xml:space="preserve"> The combination of cla</w:t>
      </w:r>
      <w:r w:rsidR="00C8214E">
        <w:rPr>
          <w:rFonts w:ascii="Calibri" w:hAnsi="Calibri"/>
          <w:sz w:val="20"/>
          <w:szCs w:val="20"/>
        </w:rPr>
        <w:t>rithromycin and simvastatin or l</w:t>
      </w:r>
      <w:r w:rsidR="00754EFB">
        <w:rPr>
          <w:rFonts w:ascii="Calibri" w:hAnsi="Calibri"/>
          <w:sz w:val="20"/>
          <w:szCs w:val="20"/>
        </w:rPr>
        <w:t>ova</w:t>
      </w:r>
      <w:r w:rsidR="00C8214E">
        <w:rPr>
          <w:rFonts w:ascii="Calibri" w:hAnsi="Calibri"/>
          <w:sz w:val="20"/>
          <w:szCs w:val="20"/>
        </w:rPr>
        <w:t>statin is not recommended. It would be</w:t>
      </w:r>
      <w:r w:rsidR="00754EFB">
        <w:rPr>
          <w:rFonts w:ascii="Calibri" w:hAnsi="Calibri"/>
          <w:sz w:val="20"/>
          <w:szCs w:val="20"/>
        </w:rPr>
        <w:t xml:space="preserve"> reasonable to hold</w:t>
      </w:r>
      <w:r w:rsidR="00C8214E">
        <w:rPr>
          <w:rFonts w:ascii="Calibri" w:hAnsi="Calibri"/>
          <w:sz w:val="20"/>
          <w:szCs w:val="20"/>
        </w:rPr>
        <w:t xml:space="preserve"> the</w:t>
      </w:r>
      <w:r w:rsidR="00754EFB">
        <w:rPr>
          <w:rFonts w:ascii="Calibri" w:hAnsi="Calibri"/>
          <w:sz w:val="20"/>
          <w:szCs w:val="20"/>
        </w:rPr>
        <w:t xml:space="preserve"> HMG-CoA Reductase Inhibitor treatment during clarithromycin therapy.</w:t>
      </w:r>
      <w:r w:rsidR="00631722">
        <w:rPr>
          <w:rFonts w:ascii="Calibri" w:hAnsi="Calibri"/>
          <w:sz w:val="20"/>
          <w:szCs w:val="20"/>
        </w:rPr>
        <w:t xml:space="preserve"> Depending on the duration of clarithromycin therapy and patient factors, switching the HMG-CoA Reductase Inhibitor to one that is not dependent on CYP3A4 metabolism may be appropriate </w:t>
      </w:r>
      <w:r w:rsidR="00754EFB">
        <w:rPr>
          <w:rFonts w:ascii="Calibri" w:hAnsi="Calibri"/>
          <w:sz w:val="20"/>
          <w:szCs w:val="20"/>
        </w:rPr>
        <w:t>(</w:t>
      </w:r>
      <w:proofErr w:type="spellStart"/>
      <w:r w:rsidR="00754EFB">
        <w:rPr>
          <w:rFonts w:ascii="Calibri" w:hAnsi="Calibri"/>
          <w:sz w:val="20"/>
          <w:szCs w:val="20"/>
        </w:rPr>
        <w:t>Alreja</w:t>
      </w:r>
      <w:proofErr w:type="spellEnd"/>
      <w:r w:rsidR="00754EFB">
        <w:rPr>
          <w:rFonts w:ascii="Calibri" w:hAnsi="Calibri"/>
          <w:sz w:val="20"/>
          <w:szCs w:val="20"/>
        </w:rPr>
        <w:t xml:space="preserve"> et al. </w:t>
      </w:r>
      <w:proofErr w:type="spellStart"/>
      <w:r w:rsidR="005B58A6">
        <w:rPr>
          <w:rFonts w:ascii="Calibri" w:hAnsi="Calibri"/>
          <w:sz w:val="20"/>
          <w:szCs w:val="20"/>
        </w:rPr>
        <w:t>Cardiovasc</w:t>
      </w:r>
      <w:proofErr w:type="spellEnd"/>
      <w:r w:rsidR="005B58A6">
        <w:rPr>
          <w:rFonts w:ascii="Calibri" w:hAnsi="Calibri"/>
          <w:sz w:val="20"/>
          <w:szCs w:val="20"/>
        </w:rPr>
        <w:t xml:space="preserve"> Dis Res. </w:t>
      </w:r>
      <w:r w:rsidR="00754EFB">
        <w:rPr>
          <w:rFonts w:ascii="Calibri" w:hAnsi="Calibri"/>
          <w:sz w:val="20"/>
          <w:szCs w:val="20"/>
        </w:rPr>
        <w:t>2012; 3(4): 319-322) (</w:t>
      </w:r>
      <w:proofErr w:type="spellStart"/>
      <w:r w:rsidR="00763406">
        <w:rPr>
          <w:rFonts w:ascii="Calibri" w:hAnsi="Calibri"/>
          <w:sz w:val="20"/>
          <w:szCs w:val="20"/>
        </w:rPr>
        <w:t>Grunden</w:t>
      </w:r>
      <w:proofErr w:type="spellEnd"/>
      <w:r w:rsidR="00754EFB">
        <w:rPr>
          <w:rFonts w:ascii="Calibri" w:hAnsi="Calibri"/>
          <w:sz w:val="20"/>
          <w:szCs w:val="20"/>
        </w:rPr>
        <w:t xml:space="preserve"> and Fisher. </w:t>
      </w:r>
      <w:r w:rsidR="005B58A6">
        <w:rPr>
          <w:rFonts w:ascii="Calibri" w:hAnsi="Calibri"/>
          <w:sz w:val="20"/>
          <w:szCs w:val="20"/>
        </w:rPr>
        <w:t xml:space="preserve">Ann </w:t>
      </w:r>
      <w:proofErr w:type="spellStart"/>
      <w:r w:rsidR="005B58A6">
        <w:rPr>
          <w:rFonts w:ascii="Calibri" w:hAnsi="Calibri"/>
          <w:sz w:val="20"/>
          <w:szCs w:val="20"/>
        </w:rPr>
        <w:t>Pharmacother</w:t>
      </w:r>
      <w:proofErr w:type="spellEnd"/>
      <w:r w:rsidR="005B58A6">
        <w:rPr>
          <w:rFonts w:ascii="Calibri" w:hAnsi="Calibri"/>
          <w:sz w:val="20"/>
          <w:szCs w:val="20"/>
        </w:rPr>
        <w:t xml:space="preserve">. </w:t>
      </w:r>
      <w:r w:rsidR="00754EFB">
        <w:rPr>
          <w:rFonts w:ascii="Calibri" w:hAnsi="Calibri"/>
          <w:sz w:val="20"/>
          <w:szCs w:val="20"/>
        </w:rPr>
        <w:t>1997; 31(7-8): 859-863) (</w:t>
      </w:r>
      <w:proofErr w:type="spellStart"/>
      <w:r w:rsidR="00754EFB">
        <w:rPr>
          <w:rFonts w:ascii="Calibri" w:hAnsi="Calibri"/>
          <w:sz w:val="20"/>
          <w:szCs w:val="20"/>
        </w:rPr>
        <w:t>Strandell</w:t>
      </w:r>
      <w:proofErr w:type="spellEnd"/>
      <w:r w:rsidR="00754EFB">
        <w:rPr>
          <w:rFonts w:ascii="Calibri" w:hAnsi="Calibri"/>
          <w:sz w:val="20"/>
          <w:szCs w:val="20"/>
        </w:rPr>
        <w:t xml:space="preserve"> et al. </w:t>
      </w:r>
      <w:r w:rsidR="005B58A6">
        <w:rPr>
          <w:rFonts w:ascii="Calibri" w:hAnsi="Calibri"/>
          <w:sz w:val="20"/>
          <w:szCs w:val="20"/>
        </w:rPr>
        <w:t xml:space="preserve">Br J </w:t>
      </w:r>
      <w:proofErr w:type="spellStart"/>
      <w:r w:rsidR="005B58A6">
        <w:rPr>
          <w:rFonts w:ascii="Calibri" w:hAnsi="Calibri"/>
          <w:sz w:val="20"/>
          <w:szCs w:val="20"/>
        </w:rPr>
        <w:t>Clin</w:t>
      </w:r>
      <w:proofErr w:type="spellEnd"/>
      <w:r w:rsidR="005B58A6">
        <w:rPr>
          <w:rFonts w:ascii="Calibri" w:hAnsi="Calibri"/>
          <w:sz w:val="20"/>
          <w:szCs w:val="20"/>
        </w:rPr>
        <w:t xml:space="preserve"> </w:t>
      </w:r>
      <w:proofErr w:type="spellStart"/>
      <w:r w:rsidR="005B58A6">
        <w:rPr>
          <w:rFonts w:ascii="Calibri" w:hAnsi="Calibri"/>
          <w:sz w:val="20"/>
          <w:szCs w:val="20"/>
        </w:rPr>
        <w:t>Pharmacol</w:t>
      </w:r>
      <w:proofErr w:type="spellEnd"/>
      <w:r w:rsidR="005B58A6">
        <w:rPr>
          <w:rFonts w:ascii="Calibri" w:hAnsi="Calibri"/>
          <w:sz w:val="20"/>
          <w:szCs w:val="20"/>
        </w:rPr>
        <w:t xml:space="preserve">. </w:t>
      </w:r>
      <w:r w:rsidR="00754EFB">
        <w:rPr>
          <w:rFonts w:ascii="Calibri" w:hAnsi="Calibri"/>
          <w:sz w:val="20"/>
          <w:szCs w:val="20"/>
        </w:rPr>
        <w:t>2009; 68(3): 427-434)</w:t>
      </w:r>
      <w:r w:rsidR="00B3179D">
        <w:rPr>
          <w:rFonts w:ascii="Calibri" w:hAnsi="Calibri"/>
          <w:sz w:val="20"/>
          <w:szCs w:val="20"/>
        </w:rPr>
        <w:t xml:space="preserve"> (Page and Yee.</w:t>
      </w:r>
      <w:r w:rsidR="005B58A6">
        <w:rPr>
          <w:rFonts w:ascii="Calibri" w:hAnsi="Calibri"/>
          <w:sz w:val="20"/>
          <w:szCs w:val="20"/>
        </w:rPr>
        <w:t xml:space="preserve"> Intern Med J.</w:t>
      </w:r>
      <w:r w:rsidR="00B3179D">
        <w:rPr>
          <w:rFonts w:ascii="Calibri" w:hAnsi="Calibri"/>
          <w:sz w:val="20"/>
          <w:szCs w:val="20"/>
        </w:rPr>
        <w:t xml:space="preserve"> 2014; 44(7)</w:t>
      </w:r>
      <w:r w:rsidR="00971654">
        <w:rPr>
          <w:rFonts w:ascii="Calibri" w:hAnsi="Calibri"/>
          <w:sz w:val="20"/>
          <w:szCs w:val="20"/>
        </w:rPr>
        <w:t>: 690-693</w:t>
      </w:r>
      <w:r w:rsidR="00B3179D">
        <w:rPr>
          <w:rFonts w:ascii="Calibri" w:hAnsi="Calibri"/>
          <w:sz w:val="20"/>
          <w:szCs w:val="20"/>
        </w:rPr>
        <w:t>)</w:t>
      </w:r>
      <w:r w:rsidR="005B58A6">
        <w:rPr>
          <w:rFonts w:ascii="Calibri" w:hAnsi="Calibri"/>
          <w:sz w:val="20"/>
          <w:szCs w:val="20"/>
        </w:rPr>
        <w:t xml:space="preserve"> (Lee and </w:t>
      </w:r>
      <w:proofErr w:type="spellStart"/>
      <w:r w:rsidR="005B58A6">
        <w:rPr>
          <w:rFonts w:ascii="Calibri" w:hAnsi="Calibri"/>
          <w:sz w:val="20"/>
          <w:szCs w:val="20"/>
        </w:rPr>
        <w:t>Maddix</w:t>
      </w:r>
      <w:proofErr w:type="spellEnd"/>
      <w:r w:rsidR="005B58A6">
        <w:rPr>
          <w:rFonts w:ascii="Calibri" w:hAnsi="Calibri"/>
          <w:sz w:val="20"/>
          <w:szCs w:val="20"/>
        </w:rPr>
        <w:t xml:space="preserve">. Ann </w:t>
      </w:r>
      <w:proofErr w:type="spellStart"/>
      <w:r w:rsidR="005B58A6">
        <w:rPr>
          <w:rFonts w:ascii="Calibri" w:hAnsi="Calibri"/>
          <w:sz w:val="20"/>
          <w:szCs w:val="20"/>
        </w:rPr>
        <w:t>Pharmacother</w:t>
      </w:r>
      <w:proofErr w:type="spellEnd"/>
      <w:r w:rsidR="005B58A6">
        <w:rPr>
          <w:rFonts w:ascii="Calibri" w:hAnsi="Calibri"/>
          <w:sz w:val="20"/>
          <w:szCs w:val="20"/>
        </w:rPr>
        <w:t>. 2001; 35(1):26-31)</w:t>
      </w:r>
    </w:p>
    <w:p w14:paraId="739CAD43" w14:textId="5BE1ACA3" w:rsidR="002A3E99" w:rsidRPr="00B055D5" w:rsidRDefault="002A3E99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</w:p>
    <w:sectPr w:rsidR="002A3E99" w:rsidRPr="00B055D5" w:rsidSect="00B055D5">
      <w:type w:val="continuous"/>
      <w:pgSz w:w="15840" w:h="12240" w:orient="landscape"/>
      <w:pgMar w:top="936" w:right="936" w:bottom="936" w:left="93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B6678" w14:textId="77777777" w:rsidR="00667A0A" w:rsidRDefault="00667A0A" w:rsidP="00492D1C">
      <w:r>
        <w:separator/>
      </w:r>
    </w:p>
  </w:endnote>
  <w:endnote w:type="continuationSeparator" w:id="0">
    <w:p w14:paraId="6BF34118" w14:textId="77777777" w:rsidR="00667A0A" w:rsidRDefault="00667A0A" w:rsidP="004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74489" w14:textId="77777777" w:rsidR="0045186D" w:rsidRDefault="0045186D" w:rsidP="0045186D">
    <w:pPr>
      <w:pStyle w:val="Footer"/>
      <w:rPr>
        <w:sz w:val="20"/>
        <w:szCs w:val="20"/>
      </w:rPr>
    </w:pPr>
  </w:p>
  <w:p w14:paraId="0EBAA4C2" w14:textId="70E30D8A" w:rsidR="00492D1C" w:rsidRPr="0045186D" w:rsidRDefault="0045186D" w:rsidP="0045186D">
    <w:pPr>
      <w:pStyle w:val="Footer"/>
      <w:rPr>
        <w:sz w:val="20"/>
        <w:szCs w:val="20"/>
      </w:rPr>
    </w:pPr>
    <w:r w:rsidRPr="0045186D">
      <w:rPr>
        <w:sz w:val="20"/>
        <w:szCs w:val="20"/>
      </w:rPr>
      <w:t xml:space="preserve">NIH Project:  </w:t>
    </w:r>
    <w:r w:rsidR="00631722">
      <w:rPr>
        <w:sz w:val="20"/>
        <w:szCs w:val="20"/>
      </w:rPr>
      <w:t>R01LM011838</w:t>
    </w:r>
    <w:r w:rsidRPr="0045186D">
      <w:rPr>
        <w:sz w:val="20"/>
        <w:szCs w:val="20"/>
      </w:rPr>
      <w:t>;</w:t>
    </w:r>
    <w:r w:rsidR="007D4676">
      <w:rPr>
        <w:sz w:val="20"/>
        <w:szCs w:val="20"/>
      </w:rPr>
      <w:t xml:space="preserve"> NLM: </w:t>
    </w:r>
    <w:r w:rsidR="007D4676" w:rsidRPr="007D4676">
      <w:rPr>
        <w:sz w:val="20"/>
        <w:szCs w:val="20"/>
      </w:rPr>
      <w:t>T15LM007124</w:t>
    </w:r>
    <w:r w:rsidR="007D4676">
      <w:rPr>
        <w:sz w:val="20"/>
        <w:szCs w:val="20"/>
      </w:rPr>
      <w:t>;</w:t>
    </w:r>
    <w:r w:rsidRPr="0045186D">
      <w:rPr>
        <w:sz w:val="20"/>
        <w:szCs w:val="20"/>
      </w:rPr>
      <w:t xml:space="preserve"> Title:  </w:t>
    </w:r>
    <w:r w:rsidR="00631722">
      <w:rPr>
        <w:sz w:val="20"/>
        <w:szCs w:val="20"/>
      </w:rPr>
      <w:t>Addressing gaps in clinically useful evidence on drug-drug interactions</w:t>
    </w:r>
    <w:r w:rsidRPr="0045186D">
      <w:rPr>
        <w:sz w:val="20"/>
        <w:szCs w:val="20"/>
      </w:rPr>
      <w:t xml:space="preserve">; </w:t>
    </w:r>
    <w:r w:rsidR="00631722">
      <w:rPr>
        <w:sz w:val="20"/>
        <w:szCs w:val="20"/>
      </w:rPr>
      <w:t>Authors: Daniel C. Malone</w:t>
    </w:r>
    <w:r w:rsidR="00A038CE" w:rsidRPr="00A038CE">
      <w:rPr>
        <w:sz w:val="20"/>
        <w:szCs w:val="20"/>
      </w:rPr>
      <w:t xml:space="preserve">, University of Arizona; John Horn, Philip </w:t>
    </w:r>
    <w:proofErr w:type="spellStart"/>
    <w:r w:rsidR="00A038CE" w:rsidRPr="00A038CE">
      <w:rPr>
        <w:sz w:val="20"/>
        <w:szCs w:val="20"/>
      </w:rPr>
      <w:t>Hansten</w:t>
    </w:r>
    <w:proofErr w:type="spellEnd"/>
    <w:r w:rsidR="00A038CE" w:rsidRPr="00A038CE">
      <w:rPr>
        <w:sz w:val="20"/>
        <w:szCs w:val="20"/>
      </w:rPr>
      <w:t>, University of Washington</w:t>
    </w:r>
    <w:r w:rsidR="00631722">
      <w:rPr>
        <w:sz w:val="20"/>
        <w:szCs w:val="20"/>
      </w:rPr>
      <w:t>; Thomas Reese, University of Utah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1ADEC" w14:textId="77777777" w:rsidR="00667A0A" w:rsidRDefault="00667A0A" w:rsidP="00492D1C">
      <w:r>
        <w:separator/>
      </w:r>
    </w:p>
  </w:footnote>
  <w:footnote w:type="continuationSeparator" w:id="0">
    <w:p w14:paraId="405AA913" w14:textId="77777777" w:rsidR="00667A0A" w:rsidRDefault="00667A0A" w:rsidP="00492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E0D6" w14:textId="0E7932ED" w:rsidR="00492D1C" w:rsidRDefault="00492D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E65E5" w14:textId="5AA36CA9" w:rsidR="00492D1C" w:rsidRDefault="00492D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D20CA" w14:textId="67284202" w:rsidR="00492D1C" w:rsidRDefault="00492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6B"/>
    <w:multiLevelType w:val="hybridMultilevel"/>
    <w:tmpl w:val="20E666D0"/>
    <w:lvl w:ilvl="0" w:tplc="DB90A1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324"/>
    <w:multiLevelType w:val="multilevel"/>
    <w:tmpl w:val="C3A8AB4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B51"/>
    <w:multiLevelType w:val="multilevel"/>
    <w:tmpl w:val="A0706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28EB"/>
    <w:multiLevelType w:val="hybridMultilevel"/>
    <w:tmpl w:val="A07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7522"/>
    <w:multiLevelType w:val="multilevel"/>
    <w:tmpl w:val="0FF812F0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9B4"/>
    <w:multiLevelType w:val="hybridMultilevel"/>
    <w:tmpl w:val="0FF812F0"/>
    <w:lvl w:ilvl="0" w:tplc="16006418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6AB5"/>
    <w:multiLevelType w:val="hybridMultilevel"/>
    <w:tmpl w:val="C3A8AB4C"/>
    <w:lvl w:ilvl="0" w:tplc="7072370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31"/>
    <w:rsid w:val="00021FB8"/>
    <w:rsid w:val="0005566E"/>
    <w:rsid w:val="000C6C0C"/>
    <w:rsid w:val="000D4D6D"/>
    <w:rsid w:val="000E477B"/>
    <w:rsid w:val="000F326C"/>
    <w:rsid w:val="00114E11"/>
    <w:rsid w:val="001323ED"/>
    <w:rsid w:val="001A5EFF"/>
    <w:rsid w:val="001C56B0"/>
    <w:rsid w:val="00222DAF"/>
    <w:rsid w:val="002A1FFE"/>
    <w:rsid w:val="002A2B3D"/>
    <w:rsid w:val="002A3E99"/>
    <w:rsid w:val="002B0453"/>
    <w:rsid w:val="002F2193"/>
    <w:rsid w:val="00335147"/>
    <w:rsid w:val="003A2088"/>
    <w:rsid w:val="003D7916"/>
    <w:rsid w:val="003E16CD"/>
    <w:rsid w:val="0045186D"/>
    <w:rsid w:val="00492D1C"/>
    <w:rsid w:val="00510A05"/>
    <w:rsid w:val="00546AF6"/>
    <w:rsid w:val="00583B31"/>
    <w:rsid w:val="005A65DD"/>
    <w:rsid w:val="005B58A6"/>
    <w:rsid w:val="005B6FD3"/>
    <w:rsid w:val="005C1B31"/>
    <w:rsid w:val="00631722"/>
    <w:rsid w:val="00667A0A"/>
    <w:rsid w:val="00672F87"/>
    <w:rsid w:val="006D00F9"/>
    <w:rsid w:val="007000AB"/>
    <w:rsid w:val="00741F7A"/>
    <w:rsid w:val="00754EFB"/>
    <w:rsid w:val="00763406"/>
    <w:rsid w:val="007A1060"/>
    <w:rsid w:val="007B34FD"/>
    <w:rsid w:val="007D2E51"/>
    <w:rsid w:val="007D4676"/>
    <w:rsid w:val="00824204"/>
    <w:rsid w:val="00870666"/>
    <w:rsid w:val="008E3B37"/>
    <w:rsid w:val="00902E44"/>
    <w:rsid w:val="00911BB0"/>
    <w:rsid w:val="00915969"/>
    <w:rsid w:val="00971654"/>
    <w:rsid w:val="00A038CE"/>
    <w:rsid w:val="00AC749D"/>
    <w:rsid w:val="00B055D5"/>
    <w:rsid w:val="00B3179D"/>
    <w:rsid w:val="00BC25F6"/>
    <w:rsid w:val="00BF13F6"/>
    <w:rsid w:val="00C2152D"/>
    <w:rsid w:val="00C308CE"/>
    <w:rsid w:val="00C41BDF"/>
    <w:rsid w:val="00C740C7"/>
    <w:rsid w:val="00C8214E"/>
    <w:rsid w:val="00CB7F57"/>
    <w:rsid w:val="00CC093F"/>
    <w:rsid w:val="00CD1DD1"/>
    <w:rsid w:val="00CE2944"/>
    <w:rsid w:val="00D23B91"/>
    <w:rsid w:val="00E04FCD"/>
    <w:rsid w:val="00EC6B9A"/>
    <w:rsid w:val="00EE473A"/>
    <w:rsid w:val="00F03D2E"/>
    <w:rsid w:val="00FB3F59"/>
    <w:rsid w:val="00FC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F74A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787E3-A304-4555-ADC6-A0200CAE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Hansten</dc:creator>
  <cp:lastModifiedBy>Boyce, Richard David</cp:lastModifiedBy>
  <cp:revision>12</cp:revision>
  <cp:lastPrinted>2016-05-10T16:18:00Z</cp:lastPrinted>
  <dcterms:created xsi:type="dcterms:W3CDTF">2018-06-08T20:24:00Z</dcterms:created>
  <dcterms:modified xsi:type="dcterms:W3CDTF">2018-10-26T20:09:00Z</dcterms:modified>
</cp:coreProperties>
</file>