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4A60" w14:textId="2D980012" w:rsidR="00BF13F6" w:rsidRPr="00214ED4" w:rsidRDefault="006850F5" w:rsidP="005C1B31">
      <w:pPr>
        <w:jc w:val="center"/>
        <w:rPr>
          <w:rFonts w:ascii="Calibri" w:hAnsi="Calibri"/>
          <w:b/>
          <w:color w:val="FF0000"/>
          <w:sz w:val="28"/>
          <w:szCs w:val="28"/>
        </w:rPr>
      </w:pPr>
      <w:proofErr w:type="spellStart"/>
      <w:r w:rsidRPr="00FB4776">
        <w:rPr>
          <w:rFonts w:ascii="Calibri" w:hAnsi="Calibri"/>
          <w:b/>
          <w:sz w:val="28"/>
          <w:szCs w:val="28"/>
        </w:rPr>
        <w:t>KCl</w:t>
      </w:r>
      <w:proofErr w:type="spellEnd"/>
      <w:r w:rsidR="005C1B31" w:rsidRPr="00FB4776">
        <w:rPr>
          <w:rFonts w:ascii="Calibri" w:hAnsi="Calibri"/>
          <w:b/>
          <w:sz w:val="28"/>
          <w:szCs w:val="28"/>
        </w:rPr>
        <w:t xml:space="preserve"> + </w:t>
      </w:r>
      <w:r w:rsidRPr="00FB4776">
        <w:rPr>
          <w:rFonts w:ascii="Calibri" w:hAnsi="Calibri"/>
          <w:b/>
          <w:sz w:val="28"/>
          <w:szCs w:val="28"/>
        </w:rPr>
        <w:t>K-Sparing Diuretic</w:t>
      </w:r>
      <w:r w:rsidR="00741F7A" w:rsidRPr="00FB4776">
        <w:rPr>
          <w:rFonts w:ascii="Calibri" w:hAnsi="Calibri"/>
          <w:b/>
          <w:sz w:val="28"/>
          <w:szCs w:val="28"/>
        </w:rPr>
        <w:t>s</w:t>
      </w:r>
      <w:bookmarkStart w:id="0" w:name="_GoBack"/>
      <w:bookmarkEnd w:id="0"/>
    </w:p>
    <w:p w14:paraId="6E88374A" w14:textId="77777777" w:rsidR="005C1B31" w:rsidRPr="00214ED4" w:rsidRDefault="005C1B31">
      <w:pPr>
        <w:rPr>
          <w:rFonts w:ascii="Calibri" w:hAnsi="Calibri"/>
          <w:color w:val="FF0000"/>
          <w:sz w:val="12"/>
        </w:rPr>
      </w:pPr>
    </w:p>
    <w:p w14:paraId="7ABDF9CE" w14:textId="3214203A" w:rsidR="001323ED" w:rsidRPr="00CC7671" w:rsidRDefault="00FD49A7" w:rsidP="001323ED">
      <w:pPr>
        <w:spacing w:line="220" w:lineRule="exact"/>
        <w:rPr>
          <w:rFonts w:ascii="Calibri" w:hAnsi="Calibri"/>
          <w:sz w:val="22"/>
          <w:szCs w:val="22"/>
        </w:rPr>
      </w:pPr>
      <w:commentRangeStart w:id="1"/>
      <w:r w:rsidRPr="00CC7671">
        <w:rPr>
          <w:rFonts w:ascii="Calibri" w:hAnsi="Calibri"/>
          <w:sz w:val="22"/>
          <w:szCs w:val="22"/>
        </w:rPr>
        <w:t>Potassium chloride</w:t>
      </w:r>
      <w:r w:rsidR="00741F7A" w:rsidRPr="00CC7671">
        <w:rPr>
          <w:rFonts w:ascii="Calibri" w:hAnsi="Calibri"/>
          <w:sz w:val="22"/>
          <w:szCs w:val="22"/>
        </w:rPr>
        <w:t xml:space="preserve"> (</w:t>
      </w:r>
      <w:proofErr w:type="spellStart"/>
      <w:r w:rsidRPr="00CC7671">
        <w:rPr>
          <w:rFonts w:ascii="Calibri" w:hAnsi="Calibri"/>
          <w:sz w:val="22"/>
          <w:szCs w:val="22"/>
        </w:rPr>
        <w:t>KCl</w:t>
      </w:r>
      <w:proofErr w:type="spellEnd"/>
      <w:r w:rsidR="00741F7A" w:rsidRPr="00CC7671">
        <w:rPr>
          <w:rFonts w:ascii="Calibri" w:hAnsi="Calibri"/>
          <w:sz w:val="22"/>
          <w:szCs w:val="22"/>
        </w:rPr>
        <w:t xml:space="preserve">) </w:t>
      </w:r>
      <w:r w:rsidRPr="00CC7671">
        <w:rPr>
          <w:rFonts w:ascii="Calibri" w:hAnsi="Calibri"/>
          <w:sz w:val="22"/>
          <w:szCs w:val="22"/>
        </w:rPr>
        <w:t>can increase the risk of hyperkalemia when combined w</w:t>
      </w:r>
      <w:r w:rsidR="00F87EB1">
        <w:rPr>
          <w:rFonts w:ascii="Calibri" w:hAnsi="Calibri"/>
          <w:sz w:val="22"/>
          <w:szCs w:val="22"/>
        </w:rPr>
        <w:t xml:space="preserve">ith potassium-sparing </w:t>
      </w:r>
      <w:r w:rsidR="00F87EB1" w:rsidRPr="00CC7671">
        <w:rPr>
          <w:rFonts w:ascii="Calibri" w:hAnsi="Calibri"/>
          <w:sz w:val="22"/>
          <w:szCs w:val="22"/>
        </w:rPr>
        <w:t>(K-sparing</w:t>
      </w:r>
      <w:r w:rsidR="00F87EB1">
        <w:rPr>
          <w:rFonts w:ascii="Calibri" w:hAnsi="Calibri"/>
          <w:sz w:val="22"/>
          <w:szCs w:val="22"/>
        </w:rPr>
        <w:t>)</w:t>
      </w:r>
      <w:r w:rsidR="00F87EB1" w:rsidRPr="00CC7671">
        <w:rPr>
          <w:rFonts w:ascii="Calibri" w:hAnsi="Calibri"/>
          <w:sz w:val="22"/>
          <w:szCs w:val="22"/>
        </w:rPr>
        <w:t xml:space="preserve"> </w:t>
      </w:r>
      <w:r w:rsidR="00F87EB1">
        <w:rPr>
          <w:rFonts w:ascii="Calibri" w:hAnsi="Calibri"/>
          <w:sz w:val="22"/>
          <w:szCs w:val="22"/>
        </w:rPr>
        <w:t>diuretics</w:t>
      </w:r>
      <w:r w:rsidRPr="00CC7671">
        <w:rPr>
          <w:rFonts w:ascii="Calibri" w:hAnsi="Calibri"/>
          <w:sz w:val="22"/>
          <w:szCs w:val="22"/>
        </w:rPr>
        <w:t xml:space="preserve">.  Hyperkalemia can cause fatigue, weakness, paralysis, and </w:t>
      </w:r>
      <w:r w:rsidR="00CC7671" w:rsidRPr="00CC7671">
        <w:rPr>
          <w:rFonts w:ascii="Calibri" w:hAnsi="Calibri"/>
          <w:sz w:val="22"/>
          <w:szCs w:val="22"/>
        </w:rPr>
        <w:t xml:space="preserve">potentially fatal </w:t>
      </w:r>
      <w:r w:rsidRPr="00CC7671">
        <w:rPr>
          <w:rFonts w:ascii="Calibri" w:hAnsi="Calibri"/>
          <w:sz w:val="22"/>
          <w:szCs w:val="22"/>
        </w:rPr>
        <w:t>arrhythmias</w:t>
      </w:r>
      <w:r w:rsidR="00741F7A" w:rsidRPr="00CC7671">
        <w:rPr>
          <w:rFonts w:ascii="Calibri" w:hAnsi="Calibri"/>
          <w:sz w:val="22"/>
          <w:szCs w:val="22"/>
        </w:rPr>
        <w:t>.</w:t>
      </w:r>
      <w:commentRangeEnd w:id="1"/>
      <w:r w:rsidR="00CC7671">
        <w:rPr>
          <w:rStyle w:val="CommentReference"/>
        </w:rPr>
        <w:commentReference w:id="1"/>
      </w:r>
    </w:p>
    <w:p w14:paraId="652551A3" w14:textId="77777777" w:rsidR="001323ED" w:rsidRPr="00214ED4" w:rsidRDefault="001323ED">
      <w:pPr>
        <w:rPr>
          <w:rFonts w:ascii="Calibri" w:hAnsi="Calibri"/>
          <w:color w:val="FF0000"/>
          <w:sz w:val="22"/>
          <w:szCs w:val="22"/>
        </w:rPr>
      </w:pPr>
    </w:p>
    <w:tbl>
      <w:tblPr>
        <w:tblStyle w:val="TableGrid"/>
        <w:tblW w:w="133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1260"/>
        <w:gridCol w:w="1440"/>
        <w:gridCol w:w="1350"/>
        <w:gridCol w:w="1440"/>
        <w:gridCol w:w="1530"/>
        <w:gridCol w:w="1530"/>
        <w:gridCol w:w="1350"/>
      </w:tblGrid>
      <w:tr w:rsidR="000E57D3" w:rsidRPr="00214ED4" w14:paraId="4C3CD267" w14:textId="77777777" w:rsidTr="000E57D3">
        <w:tc>
          <w:tcPr>
            <w:tcW w:w="3445" w:type="dxa"/>
            <w:tcBorders>
              <w:right w:val="thinThickSmallGap" w:sz="24" w:space="0" w:color="auto"/>
            </w:tcBorders>
          </w:tcPr>
          <w:p w14:paraId="2FED59AE" w14:textId="07B30431" w:rsidR="000E57D3" w:rsidRPr="00C85F23" w:rsidRDefault="000E57D3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commentRangeStart w:id="2"/>
            <w:r w:rsidRPr="00C85F23">
              <w:rPr>
                <w:rFonts w:ascii="Calibri" w:hAnsi="Calibri"/>
                <w:sz w:val="22"/>
                <w:szCs w:val="22"/>
              </w:rPr>
              <w:t>Was a K concentration measured within 48 hours?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8550" w:type="dxa"/>
            <w:gridSpan w:val="6"/>
            <w:tcBorders>
              <w:left w:val="thinThickSmallGap" w:sz="24" w:space="0" w:color="auto"/>
            </w:tcBorders>
          </w:tcPr>
          <w:p w14:paraId="0D8BCBE7" w14:textId="7D1655EE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00F82F57" w14:textId="19708ADC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0E57D3" w:rsidRPr="00214ED4" w14:paraId="5D3A5EB2" w14:textId="77777777" w:rsidTr="000E57D3">
        <w:tc>
          <w:tcPr>
            <w:tcW w:w="3445" w:type="dxa"/>
            <w:tcBorders>
              <w:right w:val="thinThickSmallGap" w:sz="24" w:space="0" w:color="auto"/>
            </w:tcBorders>
          </w:tcPr>
          <w:p w14:paraId="5343F4FC" w14:textId="7F5DC996" w:rsidR="000E57D3" w:rsidRPr="00C85F23" w:rsidRDefault="000E57D3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>Was the K concentration &lt; 4.5 meq?</w:t>
            </w:r>
          </w:p>
        </w:tc>
        <w:tc>
          <w:tcPr>
            <w:tcW w:w="7020" w:type="dxa"/>
            <w:gridSpan w:val="5"/>
            <w:tcBorders>
              <w:left w:val="thinThickSmallGap" w:sz="24" w:space="0" w:color="auto"/>
            </w:tcBorders>
          </w:tcPr>
          <w:p w14:paraId="5B9463CB" w14:textId="0ADD8BD3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530" w:type="dxa"/>
          </w:tcPr>
          <w:p w14:paraId="4ED6DA25" w14:textId="62B557D9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16768E36" w14:textId="471A1650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E57D3" w:rsidRPr="006850F5" w14:paraId="5E0F5555" w14:textId="24D39185" w:rsidTr="00D250F0">
        <w:tc>
          <w:tcPr>
            <w:tcW w:w="3445" w:type="dxa"/>
            <w:tcBorders>
              <w:right w:val="thinThickSmallGap" w:sz="24" w:space="0" w:color="auto"/>
            </w:tcBorders>
          </w:tcPr>
          <w:p w14:paraId="053DEA32" w14:textId="77777777" w:rsidR="000E57D3" w:rsidRPr="00C85F23" w:rsidRDefault="000E57D3" w:rsidP="00265B3C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>Is patient also taking:</w:t>
            </w:r>
          </w:p>
          <w:p w14:paraId="63B9D984" w14:textId="70AE5E8B" w:rsidR="000E57D3" w:rsidRPr="00C85F23" w:rsidRDefault="000E57D3" w:rsidP="000B0B48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 xml:space="preserve">  -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ACEi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or ARB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6BDA8E18" w14:textId="30BD5A56" w:rsidR="000E57D3" w:rsidRPr="006850F5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5760" w:type="dxa"/>
            <w:gridSpan w:val="4"/>
          </w:tcPr>
          <w:p w14:paraId="311A4FB9" w14:textId="1323951C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530" w:type="dxa"/>
          </w:tcPr>
          <w:p w14:paraId="5A4A3597" w14:textId="77777777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638267E4" w14:textId="237BAA8A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E57D3" w:rsidRPr="00214ED4" w14:paraId="7E75E70C" w14:textId="54564DAB" w:rsidTr="00D250F0">
        <w:tc>
          <w:tcPr>
            <w:tcW w:w="3445" w:type="dxa"/>
            <w:tcBorders>
              <w:right w:val="thinThickSmallGap" w:sz="24" w:space="0" w:color="auto"/>
            </w:tcBorders>
          </w:tcPr>
          <w:p w14:paraId="0D497480" w14:textId="01E50615" w:rsidR="000E57D3" w:rsidRPr="00C85F23" w:rsidRDefault="000E57D3" w:rsidP="00546AF6">
            <w:pPr>
              <w:pStyle w:val="ListParagraph"/>
              <w:spacing w:line="220" w:lineRule="exact"/>
              <w:ind w:left="0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 xml:space="preserve">Is the patient’s </w:t>
            </w:r>
            <w:proofErr w:type="spellStart"/>
            <w:r w:rsidRPr="00C85F23">
              <w:rPr>
                <w:rFonts w:ascii="Calibri" w:hAnsi="Calibri"/>
                <w:sz w:val="22"/>
                <w:szCs w:val="22"/>
              </w:rPr>
              <w:t>CrCl</w:t>
            </w:r>
            <w:proofErr w:type="spellEnd"/>
            <w:r w:rsidRPr="00C85F23">
              <w:rPr>
                <w:rFonts w:ascii="Calibri" w:hAnsi="Calibri"/>
                <w:sz w:val="22"/>
                <w:szCs w:val="22"/>
              </w:rPr>
              <w:t xml:space="preserve"> &lt;30 mL/</w:t>
            </w:r>
            <w:proofErr w:type="spellStart"/>
            <w:r w:rsidRPr="00C85F23">
              <w:rPr>
                <w:rFonts w:ascii="Calibri" w:hAnsi="Calibri"/>
                <w:sz w:val="22"/>
                <w:szCs w:val="22"/>
              </w:rPr>
              <w:t>hr</w:t>
            </w:r>
            <w:proofErr w:type="spellEnd"/>
            <w:r w:rsidRPr="00C85F23">
              <w:rPr>
                <w:rFonts w:ascii="Calibri" w:hAnsi="Calibri"/>
                <w:sz w:val="22"/>
                <w:szCs w:val="22"/>
              </w:rPr>
              <w:t>?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56070513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9ADBAAC" w14:textId="5495E339" w:rsidR="000E57D3" w:rsidRDefault="000E57D3" w:rsidP="00CD1DD1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  <w:r>
              <w:rPr>
                <w:rFonts w:ascii="Calibri" w:hAnsi="Calibri"/>
                <w:sz w:val="22"/>
                <w:szCs w:val="22"/>
              </w:rPr>
              <w:t xml:space="preserve"> or </w:t>
            </w:r>
          </w:p>
          <w:p w14:paraId="163EB569" w14:textId="658754CA" w:rsidR="000E57D3" w:rsidRPr="00A30582" w:rsidRDefault="000E57D3" w:rsidP="00CD1DD1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Missing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CrCl</w:t>
            </w:r>
            <w:proofErr w:type="spellEnd"/>
          </w:p>
        </w:tc>
        <w:tc>
          <w:tcPr>
            <w:tcW w:w="4320" w:type="dxa"/>
            <w:gridSpan w:val="3"/>
          </w:tcPr>
          <w:p w14:paraId="2C9EFE9F" w14:textId="2BF8939F" w:rsidR="000E57D3" w:rsidRPr="00A30582" w:rsidRDefault="000E57D3" w:rsidP="00EE595A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  <w:p w14:paraId="4DABA1C0" w14:textId="719C6B90" w:rsidR="000E57D3" w:rsidRPr="00A30582" w:rsidRDefault="000E57D3" w:rsidP="00CD1DD1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5BBF41D" w14:textId="77777777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C692FC5" w14:textId="6BF6CA4E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CFAD97A" w14:textId="661EFBB8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E57D3" w:rsidRPr="00214ED4" w14:paraId="44724E68" w14:textId="77777777" w:rsidTr="000B0B48">
        <w:tc>
          <w:tcPr>
            <w:tcW w:w="3445" w:type="dxa"/>
            <w:tcBorders>
              <w:right w:val="thinThickSmallGap" w:sz="24" w:space="0" w:color="auto"/>
            </w:tcBorders>
          </w:tcPr>
          <w:p w14:paraId="0C2DAD60" w14:textId="0BD24A63" w:rsidR="000E57D3" w:rsidRPr="00C85F23" w:rsidRDefault="000E57D3" w:rsidP="00821554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 xml:space="preserve">Is the patient’s </w:t>
            </w:r>
            <w:proofErr w:type="spellStart"/>
            <w:r w:rsidRPr="00C85F23">
              <w:rPr>
                <w:rFonts w:ascii="Calibri" w:hAnsi="Calibri"/>
                <w:sz w:val="22"/>
                <w:szCs w:val="22"/>
              </w:rPr>
              <w:t>KCl</w:t>
            </w:r>
            <w:proofErr w:type="spellEnd"/>
            <w:r w:rsidRPr="00C85F23">
              <w:rPr>
                <w:rFonts w:ascii="Calibri" w:hAnsi="Calibri"/>
                <w:sz w:val="22"/>
                <w:szCs w:val="22"/>
              </w:rPr>
              <w:t xml:space="preserve"> dose ≥ 80 meq/day?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4F60F2A6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C03A798" w14:textId="77777777" w:rsidR="000E57D3" w:rsidRPr="00A30582" w:rsidRDefault="000E57D3" w:rsidP="00CD1DD1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447949B" w14:textId="6A9ADB79" w:rsidR="000E57D3" w:rsidRPr="00A30582" w:rsidRDefault="000E57D3" w:rsidP="00CD1DD1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2970" w:type="dxa"/>
            <w:gridSpan w:val="2"/>
          </w:tcPr>
          <w:p w14:paraId="5F007BBE" w14:textId="5EE5E2D8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530" w:type="dxa"/>
          </w:tcPr>
          <w:p w14:paraId="437BED90" w14:textId="77777777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AA9F16A" w14:textId="4690FE63" w:rsidR="000E57D3" w:rsidRPr="00A30582" w:rsidRDefault="000E57D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E57D3" w:rsidRPr="00214ED4" w14:paraId="107E25CF" w14:textId="77777777" w:rsidTr="000B0B48">
        <w:tc>
          <w:tcPr>
            <w:tcW w:w="3445" w:type="dxa"/>
            <w:tcBorders>
              <w:right w:val="thinThickSmallGap" w:sz="24" w:space="0" w:color="auto"/>
            </w:tcBorders>
          </w:tcPr>
          <w:p w14:paraId="59657C1B" w14:textId="77777777" w:rsidR="000E57D3" w:rsidRPr="00C85F23" w:rsidRDefault="000E57D3" w:rsidP="00FD49A7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 xml:space="preserve">Does the patient have the following risk factor: </w:t>
            </w:r>
          </w:p>
          <w:p w14:paraId="61D20F7D" w14:textId="09475E60" w:rsidR="000E57D3" w:rsidRPr="00C85F23" w:rsidRDefault="000E57D3" w:rsidP="0097718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C85F23">
              <w:rPr>
                <w:rFonts w:ascii="Calibri" w:hAnsi="Calibri"/>
                <w:sz w:val="22"/>
                <w:szCs w:val="22"/>
              </w:rPr>
              <w:t xml:space="preserve">  - </w:t>
            </w:r>
            <w:r w:rsidR="003B118D">
              <w:rPr>
                <w:rFonts w:ascii="Calibri" w:hAnsi="Calibri"/>
                <w:sz w:val="22"/>
                <w:szCs w:val="22"/>
              </w:rPr>
              <w:t>diabetes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52A90733" w14:textId="77777777" w:rsidR="000E57D3" w:rsidRPr="00214ED4" w:rsidRDefault="000E57D3" w:rsidP="00265B3C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DE9CC58" w14:textId="77777777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0800203" w14:textId="33415F17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9DA03C8" w14:textId="5AC9409B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530" w:type="dxa"/>
          </w:tcPr>
          <w:p w14:paraId="6BCFEF90" w14:textId="71CA408C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 w:rsidRPr="00A30582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530" w:type="dxa"/>
          </w:tcPr>
          <w:p w14:paraId="5F1221A4" w14:textId="77777777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3265456" w14:textId="04557FBD" w:rsidR="000E57D3" w:rsidRPr="00A30582" w:rsidRDefault="000E57D3" w:rsidP="00265B3C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0E57D3" w:rsidRPr="00214ED4" w14:paraId="63BEF7E2" w14:textId="77777777" w:rsidTr="000B0B48">
        <w:tc>
          <w:tcPr>
            <w:tcW w:w="344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294D2F6" w14:textId="77777777" w:rsidR="000E57D3" w:rsidRPr="00214ED4" w:rsidRDefault="000E57D3" w:rsidP="000E477B">
            <w:pPr>
              <w:spacing w:line="220" w:lineRule="exact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26DE914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thinThickSmallGap" w:sz="24" w:space="0" w:color="auto"/>
            </w:tcBorders>
          </w:tcPr>
          <w:p w14:paraId="723A6D49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thinThickSmallGap" w:sz="24" w:space="0" w:color="auto"/>
            </w:tcBorders>
          </w:tcPr>
          <w:p w14:paraId="797D89F3" w14:textId="3D5147C0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thinThickSmallGap" w:sz="24" w:space="0" w:color="auto"/>
            </w:tcBorders>
          </w:tcPr>
          <w:p w14:paraId="15BAAF47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thinThickSmallGap" w:sz="24" w:space="0" w:color="auto"/>
            </w:tcBorders>
          </w:tcPr>
          <w:p w14:paraId="3151A229" w14:textId="7BFF8C6A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thinThickSmallGap" w:sz="24" w:space="0" w:color="auto"/>
            </w:tcBorders>
          </w:tcPr>
          <w:p w14:paraId="3011534A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thinThickSmallGap" w:sz="24" w:space="0" w:color="auto"/>
            </w:tcBorders>
          </w:tcPr>
          <w:p w14:paraId="31739906" w14:textId="55A18251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  <w:tr w:rsidR="000E57D3" w:rsidRPr="00214ED4" w14:paraId="347EB912" w14:textId="77777777" w:rsidTr="000B0B48">
        <w:tc>
          <w:tcPr>
            <w:tcW w:w="3445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303876C3" w14:textId="36413E08" w:rsidR="000E57D3" w:rsidRPr="00821554" w:rsidRDefault="000E57D3" w:rsidP="00821554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821554">
              <w:rPr>
                <w:rFonts w:ascii="Calibri" w:hAnsi="Calibri"/>
                <w:sz w:val="22"/>
                <w:szCs w:val="22"/>
              </w:rPr>
              <w:t>Not likely to increase risk of hyperkalemia</w:t>
            </w:r>
          </w:p>
        </w:tc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130F2A2" w14:textId="0DD9BA35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thinThickSmallGap" w:sz="24" w:space="0" w:color="auto"/>
            </w:tcBorders>
          </w:tcPr>
          <w:p w14:paraId="21F39C80" w14:textId="77777777" w:rsidR="000E57D3" w:rsidRPr="00214ED4" w:rsidRDefault="000E57D3" w:rsidP="00CD1DD1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1A7C504F" w14:textId="467F6FDF" w:rsidR="000E57D3" w:rsidRPr="00214ED4" w:rsidRDefault="000E57D3" w:rsidP="00CD1DD1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60452B2E" w14:textId="77777777" w:rsidR="000E57D3" w:rsidRPr="00214ED4" w:rsidRDefault="000E57D3" w:rsidP="00CD1DD1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7243E87E" w14:textId="6206D12B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commentRangeStart w:id="3"/>
            <w:r w:rsidRPr="00A30582">
              <w:rPr>
                <w:rFonts w:ascii="Wingdings" w:hAnsi="Wingdings"/>
                <w:color w:val="00B050"/>
                <w:sz w:val="18"/>
                <w:szCs w:val="18"/>
              </w:rPr>
              <w:t>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530" w:type="dxa"/>
            <w:tcBorders>
              <w:top w:val="thinThickSmallGap" w:sz="24" w:space="0" w:color="auto"/>
              <w:right w:val="single" w:sz="4" w:space="0" w:color="auto"/>
            </w:tcBorders>
          </w:tcPr>
          <w:p w14:paraId="73C0D85F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thinThickSmallGap" w:sz="24" w:space="0" w:color="auto"/>
              <w:left w:val="single" w:sz="4" w:space="0" w:color="auto"/>
            </w:tcBorders>
          </w:tcPr>
          <w:p w14:paraId="11EABCA7" w14:textId="23B50D02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</w:tr>
      <w:tr w:rsidR="000E57D3" w:rsidRPr="00214ED4" w14:paraId="7A171E5E" w14:textId="77777777" w:rsidTr="000B0B48">
        <w:tc>
          <w:tcPr>
            <w:tcW w:w="3445" w:type="dxa"/>
            <w:tcBorders>
              <w:right w:val="thinThickSmallGap" w:sz="24" w:space="0" w:color="auto"/>
            </w:tcBorders>
          </w:tcPr>
          <w:p w14:paraId="494B4035" w14:textId="7CAEF7DD" w:rsidR="000E57D3" w:rsidRPr="00A26701" w:rsidRDefault="000E57D3" w:rsidP="00FB4776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A26701">
              <w:rPr>
                <w:rFonts w:ascii="Calibri" w:hAnsi="Calibri"/>
                <w:sz w:val="22"/>
                <w:szCs w:val="22"/>
              </w:rPr>
              <w:t>Possible increased risk of hyperkalemia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66EAFF67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4965FB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Wingdings" w:hAnsi="Wingdings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1DECF52" w14:textId="1D07D00D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31BA0FC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DC24F89" w14:textId="24D1E3C4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9DB9E94" w14:textId="5D52B609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79073C6" w14:textId="7CEF5A37" w:rsidR="000E57D3" w:rsidRPr="00214ED4" w:rsidRDefault="004B0FC2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FF00"/>
                <w:sz w:val="20"/>
                <w:szCs w:val="20"/>
              </w:rPr>
              <w:t>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0E57D3" w:rsidRPr="00214ED4" w14:paraId="6DED6EAC" w14:textId="77777777" w:rsidTr="000B0B48">
        <w:tc>
          <w:tcPr>
            <w:tcW w:w="3445" w:type="dxa"/>
            <w:tcBorders>
              <w:right w:val="thinThickSmallGap" w:sz="24" w:space="0" w:color="auto"/>
            </w:tcBorders>
          </w:tcPr>
          <w:p w14:paraId="63F4F60E" w14:textId="5F67E52D" w:rsidR="000E57D3" w:rsidRPr="00A26701" w:rsidRDefault="000E57D3" w:rsidP="00FB4776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 w:rsidRPr="00A26701">
              <w:rPr>
                <w:rFonts w:ascii="Calibri" w:hAnsi="Calibri"/>
                <w:sz w:val="22"/>
                <w:szCs w:val="22"/>
              </w:rPr>
              <w:t>Substantially increased risk of hyperkalemia</w:t>
            </w: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4790654E" w14:textId="17CDD333" w:rsidR="000E57D3" w:rsidRPr="00214ED4" w:rsidRDefault="004B0FC2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0066"/>
                <w:sz w:val="20"/>
                <w:szCs w:val="20"/>
              </w:rPr>
              <w:t>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40" w:type="dxa"/>
          </w:tcPr>
          <w:p w14:paraId="6AF32C31" w14:textId="6C3E7AA2" w:rsidR="000E57D3" w:rsidRPr="00214ED4" w:rsidRDefault="003B118D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0066"/>
                <w:sz w:val="20"/>
                <w:szCs w:val="20"/>
              </w:rPr>
              <w:t>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1068876" w14:textId="33F381E7" w:rsidR="000E57D3" w:rsidRPr="00214ED4" w:rsidRDefault="003B118D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0066"/>
                <w:sz w:val="20"/>
                <w:szCs w:val="20"/>
              </w:rPr>
              <w:t>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EFC4A46" w14:textId="1FCB47B9" w:rsidR="000E57D3" w:rsidRPr="00214ED4" w:rsidRDefault="003B118D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0066"/>
                <w:sz w:val="20"/>
                <w:szCs w:val="20"/>
              </w:rPr>
              <w:t>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4ABD441" w14:textId="018642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C8C8A07" w14:textId="548B3EA6" w:rsidR="000E57D3" w:rsidRPr="00214ED4" w:rsidRDefault="0037600F" w:rsidP="000E477B">
            <w:pPr>
              <w:spacing w:line="220" w:lineRule="exact"/>
              <w:jc w:val="center"/>
              <w:rPr>
                <w:rFonts w:ascii="Wingdings" w:hAnsi="Wingdings"/>
                <w:color w:val="FF0000"/>
                <w:sz w:val="18"/>
                <w:szCs w:val="18"/>
              </w:rPr>
            </w:pPr>
            <w:r w:rsidRPr="00C85F23">
              <w:rPr>
                <w:rFonts w:ascii="Wingdings" w:hAnsi="Wingdings"/>
                <w:color w:val="FF0066"/>
                <w:sz w:val="20"/>
                <w:szCs w:val="20"/>
              </w:rPr>
              <w:t></w:t>
            </w:r>
            <w:r w:rsidR="000D580E">
              <w:rPr>
                <w:rFonts w:asciiTheme="majorHAnsi" w:hAnsiTheme="majorHAnsi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E869237" w14:textId="697AB509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</w:tr>
      <w:tr w:rsidR="000E57D3" w:rsidRPr="00214ED4" w14:paraId="12829403" w14:textId="77777777" w:rsidTr="000B0B48">
        <w:tc>
          <w:tcPr>
            <w:tcW w:w="3445" w:type="dxa"/>
            <w:tcBorders>
              <w:right w:val="thinThickSmallGap" w:sz="24" w:space="0" w:color="auto"/>
            </w:tcBorders>
          </w:tcPr>
          <w:p w14:paraId="48BB9E44" w14:textId="77777777" w:rsidR="000E57D3" w:rsidRPr="00214ED4" w:rsidRDefault="000E57D3" w:rsidP="000E477B">
            <w:pPr>
              <w:spacing w:line="220" w:lineRule="exact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thinThickSmallGap" w:sz="24" w:space="0" w:color="auto"/>
            </w:tcBorders>
          </w:tcPr>
          <w:p w14:paraId="60B37230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F6529D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6A48DD8" w14:textId="0DF346F8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8AF5445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A4BA64B" w14:textId="453A4D2B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CCC3FB9" w14:textId="77777777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590A29A" w14:textId="5697E8D6" w:rsidR="000E57D3" w:rsidRPr="00214ED4" w:rsidRDefault="000E57D3" w:rsidP="000E477B">
            <w:pPr>
              <w:spacing w:line="220" w:lineRule="exact"/>
              <w:jc w:val="center"/>
              <w:rPr>
                <w:rFonts w:ascii="Calibri" w:hAnsi="Calibri"/>
                <w:color w:val="FF0000"/>
                <w:sz w:val="18"/>
                <w:szCs w:val="18"/>
              </w:rPr>
            </w:pPr>
          </w:p>
        </w:tc>
      </w:tr>
    </w:tbl>
    <w:p w14:paraId="3674E399" w14:textId="5C0FCF46" w:rsidR="005C1B31" w:rsidRPr="00C85F23" w:rsidRDefault="00CE2944">
      <w:pPr>
        <w:rPr>
          <w:rFonts w:ascii="Calibri" w:hAnsi="Calibri"/>
          <w:sz w:val="20"/>
          <w:szCs w:val="20"/>
        </w:rPr>
      </w:pPr>
      <w:r w:rsidRPr="00C85F23">
        <w:rPr>
          <w:rFonts w:ascii="Wingdings" w:hAnsi="Wingdings"/>
          <w:color w:val="00B050"/>
          <w:sz w:val="20"/>
          <w:szCs w:val="20"/>
        </w:rPr>
        <w:t></w:t>
      </w:r>
      <w:r w:rsidRPr="00C85F23">
        <w:rPr>
          <w:rFonts w:ascii="Calibri" w:hAnsi="Calibri"/>
          <w:sz w:val="20"/>
          <w:szCs w:val="20"/>
        </w:rPr>
        <w:t xml:space="preserve"> = No special precautions.   </w:t>
      </w:r>
      <w:r w:rsidRPr="00C85F23">
        <w:rPr>
          <w:rFonts w:ascii="Wingdings" w:hAnsi="Wingdings"/>
          <w:color w:val="FFFF00"/>
          <w:sz w:val="20"/>
          <w:szCs w:val="20"/>
        </w:rPr>
        <w:t></w:t>
      </w:r>
      <w:r w:rsidRPr="00C85F23">
        <w:rPr>
          <w:rFonts w:ascii="Calibri" w:hAnsi="Calibri"/>
          <w:sz w:val="20"/>
          <w:szCs w:val="20"/>
        </w:rPr>
        <w:t xml:space="preserve"> = Assess risk and take action if necessary.  </w:t>
      </w:r>
      <w:r w:rsidRPr="00C85F23">
        <w:rPr>
          <w:rFonts w:ascii="Wingdings" w:hAnsi="Wingdings"/>
          <w:color w:val="FF0066"/>
          <w:sz w:val="20"/>
          <w:szCs w:val="20"/>
        </w:rPr>
        <w:t></w:t>
      </w:r>
      <w:r w:rsidRPr="00C85F23">
        <w:rPr>
          <w:rFonts w:ascii="Calibri" w:hAnsi="Calibri"/>
          <w:sz w:val="20"/>
          <w:szCs w:val="20"/>
        </w:rPr>
        <w:t xml:space="preserve"> = Use only if benefit outweighs risk</w:t>
      </w:r>
    </w:p>
    <w:p w14:paraId="3D4C3A60" w14:textId="77777777" w:rsidR="00B055D5" w:rsidRPr="00214ED4" w:rsidRDefault="00B055D5">
      <w:pPr>
        <w:rPr>
          <w:rFonts w:ascii="Calibri" w:hAnsi="Calibri"/>
          <w:color w:val="FF0000"/>
          <w:sz w:val="18"/>
          <w:szCs w:val="18"/>
        </w:rPr>
      </w:pPr>
    </w:p>
    <w:p w14:paraId="30684DE4" w14:textId="77777777" w:rsidR="00CE2944" w:rsidRPr="000E57D3" w:rsidRDefault="00CE2944">
      <w:pPr>
        <w:rPr>
          <w:rFonts w:ascii="Calibri" w:hAnsi="Calibri"/>
          <w:sz w:val="22"/>
          <w:szCs w:val="22"/>
        </w:rPr>
        <w:sectPr w:rsidR="00CE2944" w:rsidRPr="000E57D3" w:rsidSect="005C1B31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  <w:commentRangeStart w:id="4"/>
      <w:r w:rsidRPr="000E57D3">
        <w:rPr>
          <w:rFonts w:ascii="Calibri" w:hAnsi="Calibri"/>
          <w:b/>
          <w:sz w:val="22"/>
          <w:szCs w:val="22"/>
        </w:rPr>
        <w:t>Footnotes</w:t>
      </w:r>
      <w:r w:rsidRPr="000E57D3">
        <w:rPr>
          <w:rFonts w:ascii="Calibri" w:hAnsi="Calibri"/>
          <w:sz w:val="22"/>
          <w:szCs w:val="22"/>
        </w:rPr>
        <w:t>:</w:t>
      </w:r>
      <w:commentRangeEnd w:id="4"/>
      <w:r w:rsidR="00CC7671" w:rsidRPr="000E57D3">
        <w:rPr>
          <w:rStyle w:val="CommentReference"/>
        </w:rPr>
        <w:commentReference w:id="4"/>
      </w:r>
    </w:p>
    <w:p w14:paraId="1526266C" w14:textId="225ADA45" w:rsidR="001C56B0" w:rsidRPr="000E57D3" w:rsidRDefault="00915969" w:rsidP="00F87EB1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 w:rsidRPr="000E57D3">
        <w:rPr>
          <w:rFonts w:ascii="Calibri" w:hAnsi="Calibri"/>
          <w:sz w:val="20"/>
          <w:szCs w:val="20"/>
        </w:rPr>
        <w:lastRenderedPageBreak/>
        <w:t xml:space="preserve">1. </w:t>
      </w:r>
      <w:r w:rsidR="00F9100E">
        <w:rPr>
          <w:rFonts w:ascii="Calibri" w:hAnsi="Calibri"/>
          <w:sz w:val="20"/>
          <w:szCs w:val="20"/>
        </w:rPr>
        <w:t xml:space="preserve">  </w:t>
      </w:r>
      <w:r w:rsidR="0097749B">
        <w:rPr>
          <w:rFonts w:ascii="Calibri" w:hAnsi="Calibri"/>
          <w:sz w:val="20"/>
          <w:szCs w:val="20"/>
        </w:rPr>
        <w:t xml:space="preserve">A number of factors have been associated with an increased risk of hyperkalemia. These include impaired renal function, diabetes mellitus, infrequent serum potassium monitoring, baseline serum potassium level, </w:t>
      </w:r>
      <w:proofErr w:type="gramStart"/>
      <w:r w:rsidR="0097749B">
        <w:rPr>
          <w:rFonts w:ascii="Calibri" w:hAnsi="Calibri"/>
          <w:sz w:val="20"/>
          <w:szCs w:val="20"/>
        </w:rPr>
        <w:t>angiotensin</w:t>
      </w:r>
      <w:proofErr w:type="gramEnd"/>
      <w:r w:rsidR="0097749B">
        <w:rPr>
          <w:rFonts w:ascii="Calibri" w:hAnsi="Calibri"/>
          <w:sz w:val="20"/>
          <w:szCs w:val="20"/>
        </w:rPr>
        <w:t xml:space="preserve"> converting enzyme inhibitors (ACEIs), angiotensin receptor blockers (ARBs)</w:t>
      </w:r>
      <w:r w:rsidR="00851103">
        <w:rPr>
          <w:rFonts w:ascii="Calibri" w:hAnsi="Calibri"/>
          <w:sz w:val="20"/>
          <w:szCs w:val="20"/>
        </w:rPr>
        <w:t>. (</w:t>
      </w:r>
      <w:proofErr w:type="spellStart"/>
      <w:r w:rsidR="00851103">
        <w:rPr>
          <w:rFonts w:ascii="Calibri" w:hAnsi="Calibri"/>
          <w:sz w:val="20"/>
          <w:szCs w:val="20"/>
        </w:rPr>
        <w:t>Henz</w:t>
      </w:r>
      <w:proofErr w:type="spellEnd"/>
      <w:r w:rsidR="00851103">
        <w:rPr>
          <w:rFonts w:ascii="Calibri" w:hAnsi="Calibri"/>
          <w:sz w:val="20"/>
          <w:szCs w:val="20"/>
        </w:rPr>
        <w:t xml:space="preserve"> S et al. </w:t>
      </w:r>
      <w:proofErr w:type="spellStart"/>
      <w:r w:rsidR="00851103">
        <w:rPr>
          <w:rFonts w:ascii="Calibri" w:hAnsi="Calibri"/>
          <w:sz w:val="20"/>
          <w:szCs w:val="20"/>
        </w:rPr>
        <w:t>Nephrol</w:t>
      </w:r>
      <w:proofErr w:type="spellEnd"/>
      <w:r w:rsidR="00851103">
        <w:rPr>
          <w:rFonts w:ascii="Calibri" w:hAnsi="Calibri"/>
          <w:sz w:val="20"/>
          <w:szCs w:val="20"/>
        </w:rPr>
        <w:t xml:space="preserve"> Dial Transplant 2008</w:t>
      </w:r>
      <w:proofErr w:type="gramStart"/>
      <w:r w:rsidR="00851103">
        <w:rPr>
          <w:rFonts w:ascii="Calibri" w:hAnsi="Calibri"/>
          <w:sz w:val="20"/>
          <w:szCs w:val="20"/>
        </w:rPr>
        <w:t>;23:3939</w:t>
      </w:r>
      <w:proofErr w:type="gramEnd"/>
      <w:r w:rsidR="00851103">
        <w:rPr>
          <w:rFonts w:ascii="Calibri" w:hAnsi="Calibri"/>
          <w:sz w:val="20"/>
          <w:szCs w:val="20"/>
        </w:rPr>
        <w:t xml:space="preserve">-45; </w:t>
      </w:r>
      <w:r w:rsidR="006D5B26">
        <w:rPr>
          <w:rFonts w:ascii="Calibri" w:hAnsi="Calibri"/>
          <w:sz w:val="20"/>
          <w:szCs w:val="20"/>
        </w:rPr>
        <w:t xml:space="preserve">Eschmann E </w:t>
      </w:r>
      <w:proofErr w:type="spellStart"/>
      <w:r w:rsidR="006D5B26">
        <w:rPr>
          <w:rFonts w:ascii="Calibri" w:hAnsi="Calibri"/>
          <w:sz w:val="20"/>
          <w:szCs w:val="20"/>
        </w:rPr>
        <w:t>etal</w:t>
      </w:r>
      <w:proofErr w:type="spellEnd"/>
      <w:r w:rsidR="006D5B26">
        <w:rPr>
          <w:rFonts w:ascii="Calibri" w:hAnsi="Calibri"/>
          <w:sz w:val="20"/>
          <w:szCs w:val="20"/>
        </w:rPr>
        <w:t>. Eur J Clin Pharmacol. 2014</w:t>
      </w:r>
      <w:proofErr w:type="gramStart"/>
      <w:r w:rsidR="006D5B26">
        <w:rPr>
          <w:rFonts w:ascii="Calibri" w:hAnsi="Calibri"/>
          <w:sz w:val="20"/>
          <w:szCs w:val="20"/>
        </w:rPr>
        <w:t>;70:215</w:t>
      </w:r>
      <w:proofErr w:type="gramEnd"/>
      <w:r w:rsidR="006D5B26">
        <w:rPr>
          <w:rFonts w:ascii="Calibri" w:hAnsi="Calibri"/>
          <w:sz w:val="20"/>
          <w:szCs w:val="20"/>
        </w:rPr>
        <w:t xml:space="preserve">-23; </w:t>
      </w:r>
      <w:proofErr w:type="spellStart"/>
      <w:r w:rsidR="006D5B26">
        <w:rPr>
          <w:rFonts w:ascii="Calibri" w:hAnsi="Calibri"/>
          <w:sz w:val="20"/>
          <w:szCs w:val="20"/>
        </w:rPr>
        <w:t>Indermitte</w:t>
      </w:r>
      <w:proofErr w:type="spellEnd"/>
      <w:r w:rsidR="006D5B26">
        <w:rPr>
          <w:rFonts w:ascii="Calibri" w:hAnsi="Calibri"/>
          <w:sz w:val="20"/>
          <w:szCs w:val="20"/>
        </w:rPr>
        <w:t xml:space="preserve"> J et al. Drug Safety. 2007</w:t>
      </w:r>
      <w:proofErr w:type="gramStart"/>
      <w:r w:rsidR="006D5B26">
        <w:rPr>
          <w:rFonts w:ascii="Calibri" w:hAnsi="Calibri"/>
          <w:sz w:val="20"/>
          <w:szCs w:val="20"/>
        </w:rPr>
        <w:t>;30:71</w:t>
      </w:r>
      <w:proofErr w:type="gramEnd"/>
      <w:r w:rsidR="006D5B26">
        <w:rPr>
          <w:rFonts w:ascii="Calibri" w:hAnsi="Calibri"/>
          <w:sz w:val="20"/>
          <w:szCs w:val="20"/>
        </w:rPr>
        <w:t>-80.)</w:t>
      </w:r>
    </w:p>
    <w:p w14:paraId="739CAD43" w14:textId="5BE1ACA3" w:rsidR="002A3E99" w:rsidRPr="00214ED4" w:rsidRDefault="002A3E99" w:rsidP="00902E44">
      <w:pPr>
        <w:spacing w:line="200" w:lineRule="exact"/>
        <w:ind w:left="288" w:hanging="288"/>
        <w:rPr>
          <w:rFonts w:ascii="Calibri" w:hAnsi="Calibri"/>
          <w:color w:val="FF0000"/>
          <w:sz w:val="20"/>
          <w:szCs w:val="20"/>
        </w:rPr>
      </w:pPr>
    </w:p>
    <w:sectPr w:rsidR="002A3E99" w:rsidRPr="00214ED4" w:rsidSect="00B055D5">
      <w:type w:val="continuous"/>
      <w:pgSz w:w="15840" w:h="12240" w:orient="landscape"/>
      <w:pgMar w:top="936" w:right="936" w:bottom="936" w:left="936" w:header="720" w:footer="720" w:gutter="0"/>
      <w:cols w:num="2" w:space="28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izzy" w:date="2016-05-11T11:59:00Z" w:initials="L">
    <w:p w14:paraId="20947C53" w14:textId="692687CD" w:rsidR="00CC7671" w:rsidRDefault="00CC7671">
      <w:pPr>
        <w:pStyle w:val="CommentText"/>
      </w:pPr>
      <w:r>
        <w:rPr>
          <w:rStyle w:val="CommentReference"/>
        </w:rPr>
        <w:annotationRef/>
      </w:r>
      <w:r>
        <w:t>Edit as needed.</w:t>
      </w:r>
    </w:p>
  </w:comment>
  <w:comment w:id="2" w:author="Lizzy" w:date="2016-05-11T11:58:00Z" w:initials="L">
    <w:p w14:paraId="610A8CAC" w14:textId="2B5D561F" w:rsidR="000E57D3" w:rsidRDefault="000E57D3">
      <w:pPr>
        <w:pStyle w:val="CommentText"/>
      </w:pPr>
      <w:r>
        <w:rPr>
          <w:rStyle w:val="CommentReference"/>
        </w:rPr>
        <w:annotationRef/>
      </w:r>
      <w:r>
        <w:t>Possibly only specific to alert?</w:t>
      </w:r>
    </w:p>
  </w:comment>
  <w:comment w:id="3" w:author="Lizzy" w:date="2016-05-11T13:18:00Z" w:initials="L">
    <w:p w14:paraId="4E3297BF" w14:textId="3A50472F" w:rsidR="000E57D3" w:rsidRDefault="000E57D3">
      <w:pPr>
        <w:pStyle w:val="CommentText"/>
      </w:pPr>
      <w:r>
        <w:rPr>
          <w:rStyle w:val="CommentReference"/>
        </w:rPr>
        <w:annotationRef/>
      </w:r>
      <w:r>
        <w:t>The one scenario where an alert wouldn’t fire.</w:t>
      </w:r>
    </w:p>
  </w:comment>
  <w:comment w:id="4" w:author="Lizzy" w:date="2016-05-11T13:19:00Z" w:initials="L">
    <w:p w14:paraId="6E4C3484" w14:textId="65BF9CA9" w:rsidR="00CC7671" w:rsidRDefault="00CC7671">
      <w:pPr>
        <w:pStyle w:val="CommentText"/>
      </w:pPr>
      <w:r>
        <w:rPr>
          <w:rStyle w:val="CommentReference"/>
        </w:rPr>
        <w:annotationRef/>
      </w:r>
      <w:r w:rsidR="00F87EB1">
        <w:t>Need evidence of interaction.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0F2A1" w14:textId="77777777" w:rsidR="00FE5455" w:rsidRDefault="00FE5455" w:rsidP="00FA7C54">
      <w:r>
        <w:separator/>
      </w:r>
    </w:p>
  </w:endnote>
  <w:endnote w:type="continuationSeparator" w:id="0">
    <w:p w14:paraId="64BDD088" w14:textId="77777777" w:rsidR="00FE5455" w:rsidRDefault="00FE5455" w:rsidP="00FA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0F389" w14:textId="2AE7E143" w:rsidR="00FA7C54" w:rsidRDefault="00FA7C54">
    <w:pPr>
      <w:pStyle w:val="Footer"/>
    </w:pPr>
    <w:r w:rsidRPr="00FA7C54">
      <w:t xml:space="preserve">NIH Project:  R21-HS023826-01; Title:  Individualized Drug Interaction Alerts; </w:t>
    </w:r>
    <w:r w:rsidR="003B25A8" w:rsidRPr="003B25A8">
      <w:t xml:space="preserve">Authors: Daniel C. </w:t>
    </w:r>
    <w:proofErr w:type="gramStart"/>
    <w:r w:rsidR="003B25A8" w:rsidRPr="003B25A8">
      <w:t>Malone ,</w:t>
    </w:r>
    <w:proofErr w:type="gramEnd"/>
    <w:r w:rsidR="003B25A8" w:rsidRPr="003B25A8">
      <w:t xml:space="preserve"> University of Arizona; John Horn, Philip </w:t>
    </w:r>
    <w:proofErr w:type="spellStart"/>
    <w:r w:rsidR="003B25A8" w:rsidRPr="003B25A8">
      <w:t>Hansten</w:t>
    </w:r>
    <w:proofErr w:type="spellEnd"/>
    <w:r w:rsidR="003B25A8" w:rsidRPr="003B25A8">
      <w:t>, University of Washington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9ABA9" w14:textId="77777777" w:rsidR="00FE5455" w:rsidRDefault="00FE5455" w:rsidP="00FA7C54">
      <w:r>
        <w:separator/>
      </w:r>
    </w:p>
  </w:footnote>
  <w:footnote w:type="continuationSeparator" w:id="0">
    <w:p w14:paraId="0748EE01" w14:textId="77777777" w:rsidR="00FE5455" w:rsidRDefault="00FE5455" w:rsidP="00FA7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9F8DF" w14:textId="254D05BA" w:rsidR="009D1015" w:rsidRDefault="00FE5455">
    <w:pPr>
      <w:pStyle w:val="Header"/>
    </w:pPr>
    <w:r>
      <w:rPr>
        <w:noProof/>
      </w:rPr>
      <w:pict w14:anchorId="1AD981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865" o:spid="_x0000_s2050" type="#_x0000_t136" style="position:absolute;margin-left:0;margin-top:0;width:653.9pt;height:7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90B03" w14:textId="1391148C" w:rsidR="009D1015" w:rsidRDefault="00FE5455">
    <w:pPr>
      <w:pStyle w:val="Header"/>
    </w:pPr>
    <w:r>
      <w:rPr>
        <w:noProof/>
      </w:rPr>
      <w:pict w14:anchorId="5D5B53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866" o:spid="_x0000_s2051" type="#_x0000_t136" style="position:absolute;margin-left:0;margin-top:0;width:653.9pt;height:7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20385" w14:textId="03642500" w:rsidR="009D1015" w:rsidRDefault="00FE5455">
    <w:pPr>
      <w:pStyle w:val="Header"/>
    </w:pPr>
    <w:r>
      <w:rPr>
        <w:noProof/>
      </w:rPr>
      <w:pict w14:anchorId="176E73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864" o:spid="_x0000_s2049" type="#_x0000_t136" style="position:absolute;margin-left:0;margin-top:0;width:653.9pt;height:7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6B"/>
    <w:multiLevelType w:val="hybridMultilevel"/>
    <w:tmpl w:val="20E666D0"/>
    <w:lvl w:ilvl="0" w:tplc="DB90A1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324"/>
    <w:multiLevelType w:val="multilevel"/>
    <w:tmpl w:val="C3A8AB4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B51"/>
    <w:multiLevelType w:val="multilevel"/>
    <w:tmpl w:val="A0706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28EB"/>
    <w:multiLevelType w:val="hybridMultilevel"/>
    <w:tmpl w:val="A07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7522"/>
    <w:multiLevelType w:val="multilevel"/>
    <w:tmpl w:val="0FF812F0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9B4"/>
    <w:multiLevelType w:val="hybridMultilevel"/>
    <w:tmpl w:val="0FF812F0"/>
    <w:lvl w:ilvl="0" w:tplc="16006418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6AB5"/>
    <w:multiLevelType w:val="hybridMultilevel"/>
    <w:tmpl w:val="C3A8AB4C"/>
    <w:lvl w:ilvl="0" w:tplc="7072370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31"/>
    <w:rsid w:val="000B0B48"/>
    <w:rsid w:val="000D4D6D"/>
    <w:rsid w:val="000D580E"/>
    <w:rsid w:val="000E477B"/>
    <w:rsid w:val="000E57D3"/>
    <w:rsid w:val="000E6575"/>
    <w:rsid w:val="000F326C"/>
    <w:rsid w:val="001323ED"/>
    <w:rsid w:val="001A61DF"/>
    <w:rsid w:val="001C56B0"/>
    <w:rsid w:val="001E05B0"/>
    <w:rsid w:val="00214ED4"/>
    <w:rsid w:val="002A1FFE"/>
    <w:rsid w:val="002A3E99"/>
    <w:rsid w:val="00335147"/>
    <w:rsid w:val="0037600F"/>
    <w:rsid w:val="003B118D"/>
    <w:rsid w:val="003B25A8"/>
    <w:rsid w:val="003D7916"/>
    <w:rsid w:val="003E358B"/>
    <w:rsid w:val="00437636"/>
    <w:rsid w:val="004B0FC2"/>
    <w:rsid w:val="00510A05"/>
    <w:rsid w:val="00546AF6"/>
    <w:rsid w:val="00583B31"/>
    <w:rsid w:val="005A65DD"/>
    <w:rsid w:val="005C1B31"/>
    <w:rsid w:val="00631323"/>
    <w:rsid w:val="006850F5"/>
    <w:rsid w:val="006D00F9"/>
    <w:rsid w:val="006D5B26"/>
    <w:rsid w:val="007351D3"/>
    <w:rsid w:val="00741F7A"/>
    <w:rsid w:val="007A1060"/>
    <w:rsid w:val="007D2E51"/>
    <w:rsid w:val="007E178E"/>
    <w:rsid w:val="00821554"/>
    <w:rsid w:val="00851103"/>
    <w:rsid w:val="008E3B37"/>
    <w:rsid w:val="00902E44"/>
    <w:rsid w:val="00915969"/>
    <w:rsid w:val="00974C5F"/>
    <w:rsid w:val="0097718B"/>
    <w:rsid w:val="0097749B"/>
    <w:rsid w:val="009D1015"/>
    <w:rsid w:val="00A108C5"/>
    <w:rsid w:val="00A26701"/>
    <w:rsid w:val="00A30582"/>
    <w:rsid w:val="00AC749D"/>
    <w:rsid w:val="00AE454E"/>
    <w:rsid w:val="00B055D5"/>
    <w:rsid w:val="00BF13F6"/>
    <w:rsid w:val="00C308CE"/>
    <w:rsid w:val="00C85F23"/>
    <w:rsid w:val="00CC093F"/>
    <w:rsid w:val="00CC7671"/>
    <w:rsid w:val="00CD1DD1"/>
    <w:rsid w:val="00CE2944"/>
    <w:rsid w:val="00D23B91"/>
    <w:rsid w:val="00D250F0"/>
    <w:rsid w:val="00E6315B"/>
    <w:rsid w:val="00E640D5"/>
    <w:rsid w:val="00EC433C"/>
    <w:rsid w:val="00F87EB1"/>
    <w:rsid w:val="00F9100E"/>
    <w:rsid w:val="00FA299C"/>
    <w:rsid w:val="00FA7C54"/>
    <w:rsid w:val="00FB3F59"/>
    <w:rsid w:val="00FB4776"/>
    <w:rsid w:val="00FD49A7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F74A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8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C54"/>
  </w:style>
  <w:style w:type="paragraph" w:styleId="Footer">
    <w:name w:val="footer"/>
    <w:basedOn w:val="Normal"/>
    <w:link w:val="FooterChar"/>
    <w:uiPriority w:val="99"/>
    <w:unhideWhenUsed/>
    <w:rsid w:val="00FA7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8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C54"/>
  </w:style>
  <w:style w:type="paragraph" w:styleId="Footer">
    <w:name w:val="footer"/>
    <w:basedOn w:val="Normal"/>
    <w:link w:val="FooterChar"/>
    <w:uiPriority w:val="99"/>
    <w:unhideWhenUsed/>
    <w:rsid w:val="00FA7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A22AA-1239-4332-AB99-DEC5B2CC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Hansten</dc:creator>
  <cp:lastModifiedBy>Lizzy</cp:lastModifiedBy>
  <cp:revision>9</cp:revision>
  <cp:lastPrinted>2016-05-18T13:19:00Z</cp:lastPrinted>
  <dcterms:created xsi:type="dcterms:W3CDTF">2016-05-18T13:16:00Z</dcterms:created>
  <dcterms:modified xsi:type="dcterms:W3CDTF">2016-07-27T16:20:00Z</dcterms:modified>
</cp:coreProperties>
</file>