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E4A60" w14:textId="60200CEC" w:rsidR="00BF13F6" w:rsidRPr="00CE2944" w:rsidRDefault="004B0BF6" w:rsidP="005C1B31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Warfarin</w:t>
      </w:r>
      <w:r w:rsidR="005C1B31" w:rsidRPr="00CE2944">
        <w:rPr>
          <w:rFonts w:ascii="Calibri" w:hAnsi="Calibri"/>
          <w:b/>
          <w:sz w:val="28"/>
          <w:szCs w:val="28"/>
        </w:rPr>
        <w:t xml:space="preserve"> + </w:t>
      </w:r>
      <w:r w:rsidR="00FF3A86">
        <w:rPr>
          <w:rFonts w:ascii="Calibri" w:hAnsi="Calibri"/>
          <w:b/>
          <w:sz w:val="28"/>
          <w:szCs w:val="28"/>
        </w:rPr>
        <w:t>Sulfamethoxazole-trimethoprim</w:t>
      </w:r>
      <w:bookmarkStart w:id="0" w:name="_GoBack"/>
      <w:bookmarkEnd w:id="0"/>
    </w:p>
    <w:p w14:paraId="1A8FE8DD" w14:textId="77777777" w:rsidR="00C61A88" w:rsidRDefault="00C61A88" w:rsidP="001323ED">
      <w:pPr>
        <w:spacing w:line="220" w:lineRule="exact"/>
        <w:rPr>
          <w:rFonts w:ascii="Calibri" w:hAnsi="Calibri"/>
          <w:sz w:val="22"/>
          <w:szCs w:val="22"/>
        </w:rPr>
      </w:pPr>
    </w:p>
    <w:p w14:paraId="1DE52E4B" w14:textId="55327E9D" w:rsidR="00C61A88" w:rsidRPr="001323ED" w:rsidRDefault="00C61A88" w:rsidP="001323ED">
      <w:pPr>
        <w:spacing w:line="22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Sulfamethoxazole-trimethoprim (SMZ-TMP) </w:t>
      </w:r>
      <w:r w:rsidR="004E09E7">
        <w:rPr>
          <w:rFonts w:ascii="Calibri" w:hAnsi="Calibri"/>
          <w:sz w:val="22"/>
          <w:szCs w:val="22"/>
        </w:rPr>
        <w:t>is a sulfonamide antibiotic that may potentiate the anticoagulant effects of warfarin</w:t>
      </w:r>
      <w:r w:rsidR="00FF6A33">
        <w:rPr>
          <w:rFonts w:ascii="Calibri" w:hAnsi="Calibri"/>
          <w:sz w:val="22"/>
          <w:szCs w:val="22"/>
        </w:rPr>
        <w:t>,</w:t>
      </w:r>
      <w:r w:rsidR="00641205">
        <w:rPr>
          <w:rFonts w:ascii="Calibri" w:hAnsi="Calibri"/>
          <w:sz w:val="22"/>
          <w:szCs w:val="22"/>
        </w:rPr>
        <w:t xml:space="preserve"> resulting in an increased INR</w:t>
      </w:r>
      <w:r w:rsidR="00BA47BA">
        <w:rPr>
          <w:rFonts w:ascii="Calibri" w:hAnsi="Calibri"/>
          <w:sz w:val="22"/>
          <w:szCs w:val="22"/>
        </w:rPr>
        <w:t xml:space="preserve"> and risk of bleeding</w:t>
      </w:r>
      <w:r w:rsidR="004E09E7">
        <w:rPr>
          <w:rFonts w:ascii="Calibri" w:hAnsi="Calibri"/>
          <w:sz w:val="22"/>
          <w:szCs w:val="22"/>
        </w:rPr>
        <w:t>. The mechanism of the interaction seems to be multifactorial by altering normal flora</w:t>
      </w:r>
      <w:r w:rsidR="00185287">
        <w:rPr>
          <w:rFonts w:ascii="Calibri" w:hAnsi="Calibri"/>
          <w:sz w:val="22"/>
          <w:szCs w:val="22"/>
        </w:rPr>
        <w:t xml:space="preserve"> (reducing vitamin K synthesis)</w:t>
      </w:r>
      <w:r w:rsidR="004E09E7">
        <w:rPr>
          <w:rFonts w:ascii="Calibri" w:hAnsi="Calibri"/>
          <w:sz w:val="22"/>
          <w:szCs w:val="22"/>
        </w:rPr>
        <w:t>, protein binding site displacement, and reducing warfarin metabolism through</w:t>
      </w:r>
      <w:r w:rsidR="00C71B06">
        <w:rPr>
          <w:rFonts w:ascii="Calibri" w:hAnsi="Calibri"/>
          <w:sz w:val="22"/>
          <w:szCs w:val="22"/>
        </w:rPr>
        <w:t xml:space="preserve"> the</w:t>
      </w:r>
      <w:r w:rsidR="00185287">
        <w:rPr>
          <w:rFonts w:ascii="Calibri" w:hAnsi="Calibri"/>
          <w:sz w:val="22"/>
          <w:szCs w:val="22"/>
        </w:rPr>
        <w:t xml:space="preserve"> cytochrome P450 isozyme 2C9</w:t>
      </w:r>
      <w:r w:rsidR="00641205">
        <w:rPr>
          <w:rFonts w:ascii="Calibri" w:hAnsi="Calibri"/>
          <w:sz w:val="22"/>
          <w:szCs w:val="22"/>
        </w:rPr>
        <w:t>.</w:t>
      </w:r>
      <w:r w:rsidR="00DB49C4">
        <w:rPr>
          <w:rFonts w:ascii="Calibri" w:hAnsi="Calibri"/>
          <w:sz w:val="22"/>
          <w:szCs w:val="22"/>
        </w:rPr>
        <w:t xml:space="preserve"> Increased INR monitoring and</w:t>
      </w:r>
      <w:r w:rsidR="00641205">
        <w:rPr>
          <w:rFonts w:ascii="Calibri" w:hAnsi="Calibri"/>
          <w:sz w:val="22"/>
          <w:szCs w:val="22"/>
        </w:rPr>
        <w:t xml:space="preserve"> warfarin dose adjustments </w:t>
      </w:r>
      <w:r w:rsidR="00DB49C4">
        <w:rPr>
          <w:rFonts w:ascii="Calibri" w:hAnsi="Calibri"/>
          <w:sz w:val="22"/>
          <w:szCs w:val="22"/>
        </w:rPr>
        <w:t xml:space="preserve">may be necessary to reduce the risk of serious bleeding, if suitable antibiotic substitution is not available.  </w:t>
      </w:r>
      <w:r w:rsidR="00641205">
        <w:rPr>
          <w:rFonts w:ascii="Calibri" w:hAnsi="Calibri"/>
          <w:sz w:val="22"/>
          <w:szCs w:val="22"/>
        </w:rPr>
        <w:t xml:space="preserve"> </w:t>
      </w:r>
    </w:p>
    <w:p w14:paraId="652551A3" w14:textId="77777777" w:rsidR="001323ED" w:rsidRPr="001323ED" w:rsidRDefault="001323ED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142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08"/>
        <w:gridCol w:w="1753"/>
        <w:gridCol w:w="1909"/>
        <w:gridCol w:w="2458"/>
        <w:gridCol w:w="2575"/>
      </w:tblGrid>
      <w:tr w:rsidR="00392363" w:rsidRPr="00CE2944" w14:paraId="4C3CD267" w14:textId="77777777" w:rsidTr="003F6873">
        <w:trPr>
          <w:trHeight w:val="401"/>
        </w:trPr>
        <w:tc>
          <w:tcPr>
            <w:tcW w:w="5508" w:type="dxa"/>
            <w:tcBorders>
              <w:right w:val="thinThickSmallGap" w:sz="24" w:space="0" w:color="auto"/>
            </w:tcBorders>
          </w:tcPr>
          <w:p w14:paraId="2FED59AE" w14:textId="2D4BBCB4" w:rsidR="00392363" w:rsidRDefault="00392363" w:rsidP="000E477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Is there a suitable alternative antibiotic for this indication?</w:t>
            </w:r>
          </w:p>
        </w:tc>
        <w:tc>
          <w:tcPr>
            <w:tcW w:w="1753" w:type="dxa"/>
            <w:tcBorders>
              <w:left w:val="thinThickSmallGap" w:sz="24" w:space="0" w:color="auto"/>
            </w:tcBorders>
          </w:tcPr>
          <w:p w14:paraId="3F96383C" w14:textId="23B4621F" w:rsidR="00392363" w:rsidRDefault="0039236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Yes</w:t>
            </w:r>
          </w:p>
        </w:tc>
        <w:tc>
          <w:tcPr>
            <w:tcW w:w="6942" w:type="dxa"/>
            <w:gridSpan w:val="3"/>
          </w:tcPr>
          <w:p w14:paraId="1ED316CD" w14:textId="77777777" w:rsidR="00392363" w:rsidRDefault="0039236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392363" w:rsidRPr="00CE2944" w14:paraId="5D3A5EB2" w14:textId="77777777" w:rsidTr="003F6873">
        <w:trPr>
          <w:trHeight w:val="610"/>
        </w:trPr>
        <w:tc>
          <w:tcPr>
            <w:tcW w:w="5508" w:type="dxa"/>
            <w:tcBorders>
              <w:right w:val="thinThickSmallGap" w:sz="24" w:space="0" w:color="auto"/>
            </w:tcBorders>
          </w:tcPr>
          <w:p w14:paraId="5343F4FC" w14:textId="2C691216" w:rsidR="00392363" w:rsidRDefault="00392363" w:rsidP="007D1603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Is the patient a candidate for preemptive warfarin dose reduction?</w:t>
            </w:r>
          </w:p>
        </w:tc>
        <w:tc>
          <w:tcPr>
            <w:tcW w:w="1753" w:type="dxa"/>
            <w:tcBorders>
              <w:left w:val="thinThickSmallGap" w:sz="24" w:space="0" w:color="auto"/>
            </w:tcBorders>
          </w:tcPr>
          <w:p w14:paraId="711A3BD7" w14:textId="792BE31A" w:rsidR="00392363" w:rsidRDefault="0039236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09" w:type="dxa"/>
          </w:tcPr>
          <w:p w14:paraId="52AE1E28" w14:textId="0F6E2332" w:rsidR="00392363" w:rsidRDefault="0039236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Yes</w:t>
            </w:r>
          </w:p>
        </w:tc>
        <w:tc>
          <w:tcPr>
            <w:tcW w:w="5033" w:type="dxa"/>
            <w:gridSpan w:val="2"/>
          </w:tcPr>
          <w:p w14:paraId="131D5850" w14:textId="77777777" w:rsidR="00392363" w:rsidRDefault="0039236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3F6873" w:rsidRPr="00CE2944" w14:paraId="5E0F5555" w14:textId="24D39185" w:rsidTr="00FF6A33">
        <w:trPr>
          <w:trHeight w:val="305"/>
        </w:trPr>
        <w:tc>
          <w:tcPr>
            <w:tcW w:w="5508" w:type="dxa"/>
            <w:tcBorders>
              <w:right w:val="thinThickSmallGap" w:sz="24" w:space="0" w:color="auto"/>
            </w:tcBorders>
          </w:tcPr>
          <w:p w14:paraId="63B9D984" w14:textId="2D275653" w:rsidR="00392363" w:rsidRPr="00CE2944" w:rsidRDefault="00392363" w:rsidP="000E477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Is the patient &gt; 65 years old?</w:t>
            </w:r>
          </w:p>
        </w:tc>
        <w:tc>
          <w:tcPr>
            <w:tcW w:w="1753" w:type="dxa"/>
            <w:tcBorders>
              <w:left w:val="thinThickSmallGap" w:sz="24" w:space="0" w:color="auto"/>
            </w:tcBorders>
          </w:tcPr>
          <w:p w14:paraId="6BDA8E18" w14:textId="153D1B39" w:rsidR="00392363" w:rsidRPr="00CE2944" w:rsidRDefault="0039236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09" w:type="dxa"/>
          </w:tcPr>
          <w:p w14:paraId="15D0B4D5" w14:textId="77777777" w:rsidR="00392363" w:rsidRDefault="00392363" w:rsidP="003D7916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8" w:type="dxa"/>
          </w:tcPr>
          <w:p w14:paraId="3A8A1333" w14:textId="7CC7BDFE" w:rsidR="00392363" w:rsidRPr="00CE2944" w:rsidRDefault="00392363" w:rsidP="003D7916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Yes</w:t>
            </w:r>
          </w:p>
        </w:tc>
        <w:tc>
          <w:tcPr>
            <w:tcW w:w="2575" w:type="dxa"/>
          </w:tcPr>
          <w:p w14:paraId="6970EE0B" w14:textId="77777777" w:rsidR="00392363" w:rsidRPr="00CE2944" w:rsidRDefault="00392363" w:rsidP="000E477B">
            <w:pPr>
              <w:spacing w:line="220" w:lineRule="exact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3F6873" w:rsidRPr="00CE2944" w14:paraId="347EB912" w14:textId="77777777" w:rsidTr="00082888">
        <w:trPr>
          <w:trHeight w:val="401"/>
        </w:trPr>
        <w:tc>
          <w:tcPr>
            <w:tcW w:w="5508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14:paraId="303876C3" w14:textId="692F61E2" w:rsidR="00392363" w:rsidRPr="00CE2944" w:rsidRDefault="00392363" w:rsidP="00663946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 alternative antibiotic with a low-risk profile</w:t>
            </w:r>
          </w:p>
        </w:tc>
        <w:tc>
          <w:tcPr>
            <w:tcW w:w="1753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0130F2A2" w14:textId="243202CB" w:rsidR="00392363" w:rsidRPr="000E477B" w:rsidRDefault="00392363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CC00A"/>
                <w:sz w:val="20"/>
                <w:szCs w:val="20"/>
              </w:rPr>
              <w:t></w:t>
            </w:r>
            <w:r>
              <w:rPr>
                <w:rFonts w:ascii="Calibri" w:hAnsi="Calibri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909" w:type="dxa"/>
            <w:tcBorders>
              <w:top w:val="thinThickSmallGap" w:sz="24" w:space="0" w:color="auto"/>
            </w:tcBorders>
          </w:tcPr>
          <w:p w14:paraId="5BAAA5E4" w14:textId="77777777" w:rsidR="00392363" w:rsidRPr="000E477B" w:rsidRDefault="00392363" w:rsidP="003D7916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458" w:type="dxa"/>
            <w:tcBorders>
              <w:top w:val="thinThickSmallGap" w:sz="24" w:space="0" w:color="auto"/>
              <w:right w:val="single" w:sz="4" w:space="0" w:color="auto"/>
            </w:tcBorders>
          </w:tcPr>
          <w:p w14:paraId="4DD8D185" w14:textId="16191796" w:rsidR="00392363" w:rsidRPr="000E477B" w:rsidRDefault="00392363" w:rsidP="003D7916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575" w:type="dxa"/>
            <w:tcBorders>
              <w:top w:val="thinThickSmallGap" w:sz="24" w:space="0" w:color="auto"/>
              <w:right w:val="single" w:sz="4" w:space="0" w:color="auto"/>
            </w:tcBorders>
          </w:tcPr>
          <w:p w14:paraId="1A7C504F" w14:textId="18599950" w:rsidR="00392363" w:rsidRPr="000E477B" w:rsidRDefault="00392363" w:rsidP="00CD1DD1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3F6873" w:rsidRPr="00CE2944" w14:paraId="475B0AAE" w14:textId="77777777" w:rsidTr="00082888">
        <w:trPr>
          <w:trHeight w:val="627"/>
        </w:trPr>
        <w:tc>
          <w:tcPr>
            <w:tcW w:w="5508" w:type="dxa"/>
            <w:tcBorders>
              <w:right w:val="thinThickSmallGap" w:sz="24" w:space="0" w:color="auto"/>
            </w:tcBorders>
          </w:tcPr>
          <w:p w14:paraId="54B567CE" w14:textId="5AE70A6D" w:rsidR="00392363" w:rsidRDefault="00392363" w:rsidP="00AE566C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Consider warfarin dose reduction prior to initiating SMZ-TMP and increased INR monitoring</w:t>
            </w:r>
          </w:p>
        </w:tc>
        <w:tc>
          <w:tcPr>
            <w:tcW w:w="1753" w:type="dxa"/>
            <w:tcBorders>
              <w:left w:val="thinThickSmallGap" w:sz="24" w:space="0" w:color="auto"/>
            </w:tcBorders>
          </w:tcPr>
          <w:p w14:paraId="4E5C3F06" w14:textId="77777777" w:rsidR="00392363" w:rsidRPr="000E477B" w:rsidRDefault="00392363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909" w:type="dxa"/>
          </w:tcPr>
          <w:p w14:paraId="43EAA651" w14:textId="174B86CF" w:rsidR="00392363" w:rsidRPr="000E477B" w:rsidRDefault="00392363" w:rsidP="003D7916">
            <w:pPr>
              <w:spacing w:line="220" w:lineRule="exact"/>
              <w:jc w:val="center"/>
              <w:rPr>
                <w:rFonts w:ascii="Wingdings" w:hAnsi="Wingdings"/>
                <w:color w:val="FCC00A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CC00A"/>
                <w:sz w:val="20"/>
                <w:szCs w:val="20"/>
              </w:rPr>
              <w:t></w:t>
            </w:r>
            <w:r>
              <w:rPr>
                <w:rFonts w:ascii="Calibri" w:hAnsi="Calibri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458" w:type="dxa"/>
            <w:tcBorders>
              <w:right w:val="single" w:sz="4" w:space="0" w:color="auto"/>
            </w:tcBorders>
          </w:tcPr>
          <w:p w14:paraId="1BFB42CD" w14:textId="77777777" w:rsidR="00392363" w:rsidRPr="000E477B" w:rsidRDefault="00392363" w:rsidP="003D7916">
            <w:pPr>
              <w:spacing w:line="220" w:lineRule="exact"/>
              <w:jc w:val="center"/>
              <w:rPr>
                <w:rFonts w:ascii="Wingdings" w:hAnsi="Wingdings"/>
                <w:color w:val="FCC00A"/>
                <w:sz w:val="18"/>
                <w:szCs w:val="18"/>
              </w:rPr>
            </w:pPr>
          </w:p>
        </w:tc>
        <w:tc>
          <w:tcPr>
            <w:tcW w:w="2575" w:type="dxa"/>
            <w:tcBorders>
              <w:right w:val="single" w:sz="4" w:space="0" w:color="auto"/>
            </w:tcBorders>
          </w:tcPr>
          <w:p w14:paraId="113E6FFE" w14:textId="77777777" w:rsidR="00392363" w:rsidRPr="000E477B" w:rsidRDefault="00392363" w:rsidP="00CD1DD1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3F6873" w:rsidRPr="00CE2944" w14:paraId="1E01E217" w14:textId="77777777" w:rsidTr="00082888">
        <w:trPr>
          <w:trHeight w:val="202"/>
        </w:trPr>
        <w:tc>
          <w:tcPr>
            <w:tcW w:w="5508" w:type="dxa"/>
            <w:tcBorders>
              <w:right w:val="thinThickSmallGap" w:sz="24" w:space="0" w:color="auto"/>
            </w:tcBorders>
          </w:tcPr>
          <w:p w14:paraId="7C8EA56D" w14:textId="4FCB804A" w:rsidR="00392363" w:rsidRPr="00CE2944" w:rsidRDefault="00392363" w:rsidP="000E477B">
            <w:pPr>
              <w:spacing w:line="22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Increased risk of bleeding</w:t>
            </w:r>
          </w:p>
        </w:tc>
        <w:tc>
          <w:tcPr>
            <w:tcW w:w="1753" w:type="dxa"/>
            <w:tcBorders>
              <w:left w:val="thinThickSmallGap" w:sz="24" w:space="0" w:color="auto"/>
            </w:tcBorders>
          </w:tcPr>
          <w:p w14:paraId="076D4827" w14:textId="77777777" w:rsidR="00392363" w:rsidRPr="000E477B" w:rsidRDefault="00392363" w:rsidP="000E477B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909" w:type="dxa"/>
          </w:tcPr>
          <w:p w14:paraId="050CD964" w14:textId="77777777" w:rsidR="00392363" w:rsidRPr="000E477B" w:rsidRDefault="00392363" w:rsidP="003D7916">
            <w:pPr>
              <w:spacing w:line="220" w:lineRule="exact"/>
              <w:jc w:val="center"/>
              <w:rPr>
                <w:rFonts w:ascii="Wingdings" w:hAnsi="Wingdings"/>
                <w:color w:val="FCC00A"/>
                <w:sz w:val="18"/>
                <w:szCs w:val="18"/>
              </w:rPr>
            </w:pPr>
          </w:p>
        </w:tc>
        <w:tc>
          <w:tcPr>
            <w:tcW w:w="2458" w:type="dxa"/>
            <w:tcBorders>
              <w:right w:val="single" w:sz="4" w:space="0" w:color="auto"/>
            </w:tcBorders>
          </w:tcPr>
          <w:p w14:paraId="0675B5E5" w14:textId="5B891035" w:rsidR="00392363" w:rsidRPr="000E477B" w:rsidRDefault="00392363" w:rsidP="003D7916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F0080"/>
                <w:sz w:val="20"/>
                <w:szCs w:val="20"/>
              </w:rPr>
              <w:t></w:t>
            </w:r>
            <w:r>
              <w:rPr>
                <w:rFonts w:ascii="Calibri" w:hAnsi="Calibri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575" w:type="dxa"/>
            <w:tcBorders>
              <w:right w:val="single" w:sz="4" w:space="0" w:color="auto"/>
            </w:tcBorders>
          </w:tcPr>
          <w:p w14:paraId="4F133F37" w14:textId="370D5539" w:rsidR="00392363" w:rsidRPr="000E477B" w:rsidRDefault="00392363" w:rsidP="00CD1DD1">
            <w:pPr>
              <w:spacing w:line="220" w:lineRule="exact"/>
              <w:jc w:val="center"/>
              <w:rPr>
                <w:rFonts w:ascii="Calibri" w:hAnsi="Calibri"/>
                <w:sz w:val="18"/>
                <w:szCs w:val="18"/>
              </w:rPr>
            </w:pPr>
            <w:r w:rsidRPr="000E477B">
              <w:rPr>
                <w:rFonts w:ascii="Wingdings" w:hAnsi="Wingdings"/>
                <w:color w:val="FCC00A"/>
                <w:sz w:val="20"/>
                <w:szCs w:val="20"/>
              </w:rPr>
              <w:t></w:t>
            </w:r>
            <w:r>
              <w:rPr>
                <w:rFonts w:ascii="Calibri" w:hAnsi="Calibri"/>
                <w:sz w:val="18"/>
                <w:szCs w:val="18"/>
                <w:vertAlign w:val="superscript"/>
              </w:rPr>
              <w:t>2</w:t>
            </w:r>
          </w:p>
        </w:tc>
      </w:tr>
    </w:tbl>
    <w:p w14:paraId="3674E399" w14:textId="3AAF36BD" w:rsidR="005C1B31" w:rsidRPr="000E477B" w:rsidRDefault="00CE2944">
      <w:pPr>
        <w:rPr>
          <w:rFonts w:ascii="Calibri" w:hAnsi="Calibri"/>
          <w:sz w:val="20"/>
          <w:szCs w:val="20"/>
        </w:rPr>
      </w:pPr>
      <w:r w:rsidRPr="000E477B">
        <w:rPr>
          <w:rFonts w:ascii="Wingdings" w:hAnsi="Wingdings"/>
          <w:color w:val="20D71A"/>
          <w:sz w:val="20"/>
          <w:szCs w:val="20"/>
        </w:rPr>
        <w:t></w:t>
      </w:r>
      <w:r w:rsidRPr="000E477B">
        <w:rPr>
          <w:rFonts w:ascii="Calibri" w:hAnsi="Calibri"/>
          <w:color w:val="20D71A"/>
          <w:sz w:val="20"/>
          <w:szCs w:val="20"/>
        </w:rPr>
        <w:t xml:space="preserve"> </w:t>
      </w:r>
      <w:r w:rsidRPr="000E477B">
        <w:rPr>
          <w:rFonts w:ascii="Calibri" w:hAnsi="Calibri"/>
          <w:sz w:val="20"/>
          <w:szCs w:val="20"/>
        </w:rPr>
        <w:t xml:space="preserve">= No special precautions.  </w:t>
      </w:r>
      <w:r w:rsidRPr="000E477B">
        <w:rPr>
          <w:rFonts w:ascii="Calibri" w:hAnsi="Calibri"/>
          <w:color w:val="20D71A"/>
          <w:sz w:val="20"/>
          <w:szCs w:val="20"/>
        </w:rPr>
        <w:t xml:space="preserve"> </w:t>
      </w:r>
      <w:r w:rsidRPr="000E477B">
        <w:rPr>
          <w:rFonts w:ascii="Wingdings" w:hAnsi="Wingdings"/>
          <w:color w:val="FCC00A"/>
          <w:sz w:val="20"/>
          <w:szCs w:val="20"/>
        </w:rPr>
        <w:t></w:t>
      </w:r>
      <w:r w:rsidRPr="000E477B">
        <w:rPr>
          <w:rFonts w:ascii="Calibri" w:hAnsi="Calibri"/>
          <w:sz w:val="20"/>
          <w:szCs w:val="20"/>
        </w:rPr>
        <w:t xml:space="preserve"> = Assess risk and take action if necessary.</w:t>
      </w:r>
      <w:r w:rsidR="007D1603">
        <w:rPr>
          <w:rFonts w:ascii="Calibri" w:hAnsi="Calibri"/>
          <w:color w:val="FF0080"/>
          <w:sz w:val="20"/>
          <w:szCs w:val="20"/>
        </w:rPr>
        <w:t></w:t>
      </w:r>
      <w:r w:rsidRPr="000E477B">
        <w:rPr>
          <w:rFonts w:ascii="Calibri" w:hAnsi="Calibri"/>
          <w:color w:val="FF0080"/>
          <w:sz w:val="20"/>
          <w:szCs w:val="20"/>
        </w:rPr>
        <w:t xml:space="preserve"> </w:t>
      </w:r>
      <w:r w:rsidRPr="000E477B">
        <w:rPr>
          <w:rFonts w:ascii="Wingdings" w:hAnsi="Wingdings"/>
          <w:color w:val="FF0080"/>
          <w:sz w:val="20"/>
          <w:szCs w:val="20"/>
        </w:rPr>
        <w:t></w:t>
      </w:r>
      <w:r w:rsidRPr="000E477B">
        <w:rPr>
          <w:rFonts w:ascii="Calibri" w:hAnsi="Calibri"/>
          <w:sz w:val="20"/>
          <w:szCs w:val="20"/>
        </w:rPr>
        <w:t xml:space="preserve"> = Use only if benefit outweighs risk</w:t>
      </w:r>
    </w:p>
    <w:p w14:paraId="3D4C3A60" w14:textId="77777777" w:rsidR="00B055D5" w:rsidRPr="00B055D5" w:rsidRDefault="00B055D5">
      <w:pPr>
        <w:rPr>
          <w:rFonts w:ascii="Calibri" w:hAnsi="Calibri"/>
          <w:sz w:val="18"/>
          <w:szCs w:val="18"/>
        </w:rPr>
      </w:pPr>
    </w:p>
    <w:p w14:paraId="30684DE4" w14:textId="77777777" w:rsidR="00CE2944" w:rsidRPr="00CE2944" w:rsidRDefault="00CE2944">
      <w:pPr>
        <w:rPr>
          <w:rFonts w:ascii="Calibri" w:hAnsi="Calibri"/>
          <w:sz w:val="22"/>
          <w:szCs w:val="22"/>
        </w:rPr>
        <w:sectPr w:rsidR="00CE2944" w:rsidRPr="00CE2944" w:rsidSect="005C1B31">
          <w:headerReference w:type="even" r:id="rId9"/>
          <w:headerReference w:type="default" r:id="rId10"/>
          <w:footerReference w:type="default" r:id="rId11"/>
          <w:headerReference w:type="first" r:id="rId12"/>
          <w:pgSz w:w="15840" w:h="12240" w:orient="landscape"/>
          <w:pgMar w:top="936" w:right="936" w:bottom="936" w:left="936" w:header="720" w:footer="720" w:gutter="0"/>
          <w:cols w:space="720"/>
          <w:docGrid w:linePitch="360"/>
        </w:sectPr>
      </w:pPr>
      <w:r w:rsidRPr="001C56B0">
        <w:rPr>
          <w:rFonts w:ascii="Calibri" w:hAnsi="Calibri"/>
          <w:b/>
          <w:sz w:val="22"/>
          <w:szCs w:val="22"/>
        </w:rPr>
        <w:t>Footnotes</w:t>
      </w:r>
      <w:r w:rsidRPr="00CE2944">
        <w:rPr>
          <w:rFonts w:ascii="Calibri" w:hAnsi="Calibri"/>
          <w:sz w:val="22"/>
          <w:szCs w:val="22"/>
        </w:rPr>
        <w:t>:</w:t>
      </w:r>
    </w:p>
    <w:p w14:paraId="7BB85D23" w14:textId="34C6CFB6" w:rsidR="00546AF6" w:rsidRDefault="00915969" w:rsidP="00672F87">
      <w:pPr>
        <w:spacing w:line="200" w:lineRule="exact"/>
        <w:ind w:left="288" w:hanging="288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lastRenderedPageBreak/>
        <w:t>1.</w:t>
      </w:r>
      <w:r w:rsidR="00663946">
        <w:rPr>
          <w:rFonts w:ascii="Calibri" w:hAnsi="Calibri"/>
          <w:sz w:val="20"/>
          <w:szCs w:val="20"/>
        </w:rPr>
        <w:t xml:space="preserve"> Cephalexin, clindamycin, and levofloxacin seem to have a lower risk profile that may not necessitate a warfarin dose adjustment, but increas</w:t>
      </w:r>
      <w:r w:rsidR="00F04C1C">
        <w:rPr>
          <w:rFonts w:ascii="Calibri" w:hAnsi="Calibri"/>
          <w:sz w:val="20"/>
          <w:szCs w:val="20"/>
        </w:rPr>
        <w:t>ed</w:t>
      </w:r>
      <w:r w:rsidR="00663946">
        <w:rPr>
          <w:rFonts w:ascii="Calibri" w:hAnsi="Calibri"/>
          <w:sz w:val="20"/>
          <w:szCs w:val="20"/>
        </w:rPr>
        <w:t xml:space="preserve"> INR monitoring is recommended. (Lane et al. Am J Med. 2014; 127(7):657-663)</w:t>
      </w:r>
      <w:r w:rsidR="00AB7145">
        <w:rPr>
          <w:rFonts w:ascii="Calibri" w:hAnsi="Calibri"/>
          <w:sz w:val="20"/>
          <w:szCs w:val="20"/>
        </w:rPr>
        <w:t xml:space="preserve"> (Ahmed et al. J </w:t>
      </w:r>
      <w:proofErr w:type="spellStart"/>
      <w:r w:rsidR="00AB7145">
        <w:rPr>
          <w:rFonts w:ascii="Calibri" w:hAnsi="Calibri"/>
          <w:sz w:val="20"/>
          <w:szCs w:val="20"/>
        </w:rPr>
        <w:t>Thromb</w:t>
      </w:r>
      <w:proofErr w:type="spellEnd"/>
      <w:r w:rsidR="00AB7145">
        <w:rPr>
          <w:rFonts w:ascii="Calibri" w:hAnsi="Calibri"/>
          <w:sz w:val="20"/>
          <w:szCs w:val="20"/>
        </w:rPr>
        <w:t xml:space="preserve"> Thrombo</w:t>
      </w:r>
      <w:r w:rsidR="00663946">
        <w:rPr>
          <w:rFonts w:ascii="Calibri" w:hAnsi="Calibri"/>
          <w:sz w:val="20"/>
          <w:szCs w:val="20"/>
        </w:rPr>
        <w:t>lysis. 2008; 26(1)</w:t>
      </w:r>
      <w:r w:rsidR="00F04C1C">
        <w:rPr>
          <w:rFonts w:ascii="Calibri" w:hAnsi="Calibri"/>
          <w:sz w:val="20"/>
          <w:szCs w:val="20"/>
        </w:rPr>
        <w:t>:</w:t>
      </w:r>
      <w:r w:rsidR="00663946">
        <w:rPr>
          <w:rFonts w:ascii="Calibri" w:hAnsi="Calibri"/>
          <w:sz w:val="20"/>
          <w:szCs w:val="20"/>
        </w:rPr>
        <w:t>44-8)</w:t>
      </w:r>
    </w:p>
    <w:p w14:paraId="0AC6F4DB" w14:textId="72F30A68" w:rsidR="00672F87" w:rsidRDefault="00672F87" w:rsidP="00672F87">
      <w:pPr>
        <w:spacing w:line="200" w:lineRule="exact"/>
        <w:ind w:left="288" w:hanging="288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2.</w:t>
      </w:r>
      <w:r w:rsidR="00663946">
        <w:rPr>
          <w:rFonts w:ascii="Calibri" w:hAnsi="Calibri"/>
          <w:sz w:val="20"/>
          <w:szCs w:val="20"/>
        </w:rPr>
        <w:t xml:space="preserve"> </w:t>
      </w:r>
      <w:r w:rsidR="00B773F8">
        <w:rPr>
          <w:rFonts w:ascii="Calibri" w:hAnsi="Calibri"/>
          <w:sz w:val="20"/>
          <w:szCs w:val="20"/>
        </w:rPr>
        <w:t>If warfarin and sulfamethoxazole-trimethoprim are co-administered, a</w:t>
      </w:r>
      <w:r w:rsidR="00663946">
        <w:rPr>
          <w:rFonts w:ascii="Calibri" w:hAnsi="Calibri"/>
          <w:sz w:val="20"/>
          <w:szCs w:val="20"/>
        </w:rPr>
        <w:t xml:space="preserve"> prophylactic </w:t>
      </w:r>
      <w:r w:rsidR="00AB7145">
        <w:rPr>
          <w:rFonts w:ascii="Calibri" w:hAnsi="Calibri"/>
          <w:sz w:val="20"/>
          <w:szCs w:val="20"/>
        </w:rPr>
        <w:t>warfarin dose reduction of 10-25</w:t>
      </w:r>
      <w:r w:rsidR="00663946">
        <w:rPr>
          <w:rFonts w:ascii="Calibri" w:hAnsi="Calibri"/>
          <w:sz w:val="20"/>
          <w:szCs w:val="20"/>
        </w:rPr>
        <w:t xml:space="preserve">% with </w:t>
      </w:r>
      <w:r w:rsidR="00F04C1C">
        <w:rPr>
          <w:rFonts w:ascii="Calibri" w:hAnsi="Calibri"/>
          <w:sz w:val="20"/>
          <w:szCs w:val="20"/>
        </w:rPr>
        <w:t>increased INR monitoring and subsequent dose adjustment</w:t>
      </w:r>
      <w:r w:rsidR="007D1603">
        <w:rPr>
          <w:rFonts w:ascii="Calibri" w:hAnsi="Calibri"/>
          <w:sz w:val="20"/>
          <w:szCs w:val="20"/>
        </w:rPr>
        <w:t>s</w:t>
      </w:r>
      <w:r w:rsidR="00FF6A33">
        <w:rPr>
          <w:rFonts w:ascii="Calibri" w:hAnsi="Calibri"/>
          <w:sz w:val="20"/>
          <w:szCs w:val="20"/>
        </w:rPr>
        <w:t xml:space="preserve"> is recommended</w:t>
      </w:r>
      <w:r w:rsidR="00F04C1C">
        <w:rPr>
          <w:rFonts w:ascii="Calibri" w:hAnsi="Calibri"/>
          <w:sz w:val="20"/>
          <w:szCs w:val="20"/>
        </w:rPr>
        <w:t>.</w:t>
      </w:r>
      <w:r w:rsidR="00AB7145">
        <w:rPr>
          <w:rFonts w:ascii="Calibri" w:hAnsi="Calibri"/>
          <w:sz w:val="20"/>
          <w:szCs w:val="20"/>
        </w:rPr>
        <w:t xml:space="preserve"> (Ahmed et al. J </w:t>
      </w:r>
      <w:proofErr w:type="spellStart"/>
      <w:r w:rsidR="00AB7145">
        <w:rPr>
          <w:rFonts w:ascii="Calibri" w:hAnsi="Calibri"/>
          <w:sz w:val="20"/>
          <w:szCs w:val="20"/>
        </w:rPr>
        <w:t>Thromb</w:t>
      </w:r>
      <w:proofErr w:type="spellEnd"/>
      <w:r w:rsidR="00AB7145">
        <w:rPr>
          <w:rFonts w:ascii="Calibri" w:hAnsi="Calibri"/>
          <w:sz w:val="20"/>
          <w:szCs w:val="20"/>
        </w:rPr>
        <w:t xml:space="preserve"> Thrombo</w:t>
      </w:r>
      <w:r w:rsidR="00F04C1C">
        <w:rPr>
          <w:rFonts w:ascii="Calibri" w:hAnsi="Calibri"/>
          <w:sz w:val="20"/>
          <w:szCs w:val="20"/>
        </w:rPr>
        <w:t>lysis. 2008; 26(1):44-8)</w:t>
      </w:r>
      <w:r w:rsidR="00AB7145">
        <w:rPr>
          <w:rFonts w:ascii="Calibri" w:hAnsi="Calibri"/>
          <w:sz w:val="20"/>
          <w:szCs w:val="20"/>
        </w:rPr>
        <w:t xml:space="preserve"> (Powers </w:t>
      </w:r>
      <w:r w:rsidR="00AB7145" w:rsidRPr="00AB7145">
        <w:rPr>
          <w:rFonts w:ascii="Calibri" w:hAnsi="Calibri"/>
          <w:sz w:val="20"/>
          <w:szCs w:val="20"/>
        </w:rPr>
        <w:t>et al</w:t>
      </w:r>
      <w:r w:rsidR="00AB7145">
        <w:rPr>
          <w:rFonts w:ascii="Calibri" w:hAnsi="Calibri"/>
          <w:sz w:val="20"/>
          <w:szCs w:val="20"/>
        </w:rPr>
        <w:t>.</w:t>
      </w:r>
      <w:r w:rsidR="00AB7145" w:rsidRPr="00AB7145">
        <w:rPr>
          <w:rFonts w:ascii="Calibri" w:hAnsi="Calibri"/>
          <w:sz w:val="20"/>
          <w:szCs w:val="20"/>
        </w:rPr>
        <w:t xml:space="preserve"> J </w:t>
      </w:r>
      <w:proofErr w:type="spellStart"/>
      <w:r w:rsidR="00AB7145" w:rsidRPr="00AB7145">
        <w:rPr>
          <w:rFonts w:ascii="Calibri" w:hAnsi="Calibri"/>
          <w:sz w:val="20"/>
          <w:szCs w:val="20"/>
        </w:rPr>
        <w:t>Thromb</w:t>
      </w:r>
      <w:proofErr w:type="spellEnd"/>
      <w:r w:rsidR="00AB7145" w:rsidRPr="00AB7145">
        <w:rPr>
          <w:rFonts w:ascii="Calibri" w:hAnsi="Calibri"/>
          <w:sz w:val="20"/>
          <w:szCs w:val="20"/>
        </w:rPr>
        <w:t xml:space="preserve"> Thrombolysis. 2017;</w:t>
      </w:r>
      <w:r w:rsidR="00AB7145">
        <w:rPr>
          <w:rFonts w:ascii="Calibri" w:hAnsi="Calibri"/>
          <w:sz w:val="20"/>
          <w:szCs w:val="20"/>
        </w:rPr>
        <w:t xml:space="preserve"> 44</w:t>
      </w:r>
      <w:r w:rsidR="00AB7145" w:rsidRPr="00AB7145">
        <w:rPr>
          <w:rFonts w:ascii="Calibri" w:hAnsi="Calibri"/>
          <w:sz w:val="20"/>
          <w:szCs w:val="20"/>
        </w:rPr>
        <w:t>:88-93</w:t>
      </w:r>
      <w:r w:rsidR="00AB7145">
        <w:rPr>
          <w:rFonts w:ascii="Calibri" w:hAnsi="Calibri"/>
          <w:sz w:val="20"/>
          <w:szCs w:val="20"/>
        </w:rPr>
        <w:t>)</w:t>
      </w:r>
    </w:p>
    <w:p w14:paraId="7FA1C66D" w14:textId="72262C12" w:rsidR="004B0BF6" w:rsidRPr="004B0BF6" w:rsidRDefault="00672F87" w:rsidP="00F04C1C">
      <w:pPr>
        <w:spacing w:line="200" w:lineRule="exact"/>
        <w:ind w:left="288" w:hanging="288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3.</w:t>
      </w:r>
      <w:r w:rsidR="00F04C1C">
        <w:rPr>
          <w:rFonts w:ascii="Calibri" w:hAnsi="Calibri"/>
          <w:sz w:val="20"/>
          <w:szCs w:val="20"/>
        </w:rPr>
        <w:t xml:space="preserve"> Older patients</w:t>
      </w:r>
      <w:r w:rsidR="007D1603">
        <w:rPr>
          <w:rFonts w:ascii="Calibri" w:hAnsi="Calibri"/>
          <w:sz w:val="20"/>
          <w:szCs w:val="20"/>
        </w:rPr>
        <w:t xml:space="preserve"> taking warfarin</w:t>
      </w:r>
      <w:r w:rsidR="00F04C1C">
        <w:rPr>
          <w:rFonts w:ascii="Calibri" w:hAnsi="Calibri"/>
          <w:sz w:val="20"/>
          <w:szCs w:val="20"/>
        </w:rPr>
        <w:t xml:space="preserve"> may have an increased risk of bleeding when SMZ-TMP is initiated. (</w:t>
      </w:r>
      <w:proofErr w:type="spellStart"/>
      <w:r w:rsidR="00F04C1C">
        <w:rPr>
          <w:rFonts w:ascii="Calibri" w:hAnsi="Calibri"/>
          <w:sz w:val="20"/>
          <w:szCs w:val="20"/>
        </w:rPr>
        <w:t>Baillargeon</w:t>
      </w:r>
      <w:proofErr w:type="spellEnd"/>
      <w:r w:rsidR="00F04C1C">
        <w:rPr>
          <w:rFonts w:ascii="Calibri" w:hAnsi="Calibri"/>
          <w:sz w:val="20"/>
          <w:szCs w:val="20"/>
        </w:rPr>
        <w:t xml:space="preserve"> et al. Am J Med. 2012; 125(2):183-189) (Fischer et al. Arch Intern Med. 2010; 170(7):617-621)</w:t>
      </w:r>
    </w:p>
    <w:p w14:paraId="1526266C" w14:textId="07C0EF1D" w:rsidR="001C56B0" w:rsidRDefault="001C56B0" w:rsidP="00915969">
      <w:pPr>
        <w:spacing w:line="200" w:lineRule="exact"/>
        <w:rPr>
          <w:rFonts w:ascii="Calibri" w:hAnsi="Calibri"/>
          <w:sz w:val="20"/>
          <w:szCs w:val="20"/>
        </w:rPr>
      </w:pPr>
    </w:p>
    <w:p w14:paraId="739CAD43" w14:textId="5BE1ACA3" w:rsidR="002A3E99" w:rsidRPr="00B055D5" w:rsidRDefault="002A3E99" w:rsidP="00902E44">
      <w:pPr>
        <w:spacing w:line="200" w:lineRule="exact"/>
        <w:ind w:left="288" w:hanging="288"/>
        <w:rPr>
          <w:rFonts w:ascii="Calibri" w:hAnsi="Calibri"/>
          <w:sz w:val="20"/>
          <w:szCs w:val="20"/>
        </w:rPr>
      </w:pPr>
    </w:p>
    <w:sectPr w:rsidR="002A3E99" w:rsidRPr="00B055D5" w:rsidSect="00B055D5">
      <w:type w:val="continuous"/>
      <w:pgSz w:w="15840" w:h="12240" w:orient="landscape"/>
      <w:pgMar w:top="936" w:right="936" w:bottom="936" w:left="936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16BCC" w14:textId="77777777" w:rsidR="00FE7805" w:rsidRDefault="00FE7805" w:rsidP="00492D1C">
      <w:r>
        <w:separator/>
      </w:r>
    </w:p>
  </w:endnote>
  <w:endnote w:type="continuationSeparator" w:id="0">
    <w:p w14:paraId="14F0422A" w14:textId="77777777" w:rsidR="00FE7805" w:rsidRDefault="00FE7805" w:rsidP="0049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74489" w14:textId="77777777" w:rsidR="0045186D" w:rsidRDefault="0045186D" w:rsidP="0045186D">
    <w:pPr>
      <w:pStyle w:val="Footer"/>
      <w:rPr>
        <w:sz w:val="20"/>
        <w:szCs w:val="20"/>
      </w:rPr>
    </w:pPr>
  </w:p>
  <w:p w14:paraId="091F0C4E" w14:textId="77777777" w:rsidR="00841A72" w:rsidRDefault="00841A72" w:rsidP="00841A72">
    <w:pPr>
      <w:pStyle w:val="Footer"/>
      <w:rPr>
        <w:sz w:val="20"/>
        <w:szCs w:val="20"/>
      </w:rPr>
    </w:pPr>
  </w:p>
  <w:p w14:paraId="0EBAA4C2" w14:textId="4F418D7F" w:rsidR="00492D1C" w:rsidRPr="0045186D" w:rsidRDefault="00841A72" w:rsidP="00841A72">
    <w:pPr>
      <w:pStyle w:val="Footer"/>
      <w:rPr>
        <w:sz w:val="20"/>
        <w:szCs w:val="20"/>
      </w:rPr>
    </w:pPr>
    <w:r w:rsidRPr="0045186D">
      <w:rPr>
        <w:sz w:val="20"/>
        <w:szCs w:val="20"/>
      </w:rPr>
      <w:t xml:space="preserve">NIH Project:  </w:t>
    </w:r>
    <w:r>
      <w:rPr>
        <w:sz w:val="20"/>
        <w:szCs w:val="20"/>
      </w:rPr>
      <w:t>R01LM011838</w:t>
    </w:r>
    <w:r w:rsidRPr="0045186D">
      <w:rPr>
        <w:sz w:val="20"/>
        <w:szCs w:val="20"/>
      </w:rPr>
      <w:t>;</w:t>
    </w:r>
    <w:r w:rsidR="00C568AD" w:rsidRPr="00C568AD">
      <w:rPr>
        <w:sz w:val="20"/>
        <w:szCs w:val="20"/>
      </w:rPr>
      <w:t xml:space="preserve"> </w:t>
    </w:r>
    <w:r w:rsidR="00C568AD">
      <w:rPr>
        <w:sz w:val="20"/>
        <w:szCs w:val="20"/>
      </w:rPr>
      <w:t xml:space="preserve">NLM: </w:t>
    </w:r>
    <w:r w:rsidR="00C568AD" w:rsidRPr="007D4676">
      <w:rPr>
        <w:sz w:val="20"/>
        <w:szCs w:val="20"/>
      </w:rPr>
      <w:t>T15LM007124</w:t>
    </w:r>
    <w:r w:rsidR="00C568AD">
      <w:rPr>
        <w:sz w:val="20"/>
        <w:szCs w:val="20"/>
      </w:rPr>
      <w:t>;</w:t>
    </w:r>
    <w:r w:rsidRPr="0045186D">
      <w:rPr>
        <w:sz w:val="20"/>
        <w:szCs w:val="20"/>
      </w:rPr>
      <w:t xml:space="preserve"> Title:  </w:t>
    </w:r>
    <w:r>
      <w:rPr>
        <w:sz w:val="20"/>
        <w:szCs w:val="20"/>
      </w:rPr>
      <w:t>Addressing gaps in clinically useful evidence on drug-drug interactions</w:t>
    </w:r>
    <w:r w:rsidRPr="0045186D">
      <w:rPr>
        <w:sz w:val="20"/>
        <w:szCs w:val="20"/>
      </w:rPr>
      <w:t xml:space="preserve">; </w:t>
    </w:r>
    <w:r>
      <w:rPr>
        <w:sz w:val="20"/>
        <w:szCs w:val="20"/>
      </w:rPr>
      <w:t>Authors: Daniel C. Malone</w:t>
    </w:r>
    <w:r w:rsidRPr="00A038CE">
      <w:rPr>
        <w:sz w:val="20"/>
        <w:szCs w:val="20"/>
      </w:rPr>
      <w:t xml:space="preserve">, University of Arizona; John Horn, Philip </w:t>
    </w:r>
    <w:proofErr w:type="spellStart"/>
    <w:r w:rsidRPr="00A038CE">
      <w:rPr>
        <w:sz w:val="20"/>
        <w:szCs w:val="20"/>
      </w:rPr>
      <w:t>Hansten</w:t>
    </w:r>
    <w:proofErr w:type="spellEnd"/>
    <w:r w:rsidRPr="00A038CE">
      <w:rPr>
        <w:sz w:val="20"/>
        <w:szCs w:val="20"/>
      </w:rPr>
      <w:t>, University of Washington</w:t>
    </w:r>
    <w:r>
      <w:rPr>
        <w:sz w:val="20"/>
        <w:szCs w:val="20"/>
      </w:rPr>
      <w:t>; Thomas Reese, University of Utah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25D39" w14:textId="77777777" w:rsidR="00FE7805" w:rsidRDefault="00FE7805" w:rsidP="00492D1C">
      <w:r>
        <w:separator/>
      </w:r>
    </w:p>
  </w:footnote>
  <w:footnote w:type="continuationSeparator" w:id="0">
    <w:p w14:paraId="4C32DAD0" w14:textId="77777777" w:rsidR="00FE7805" w:rsidRDefault="00FE7805" w:rsidP="00492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1E0D6" w14:textId="5BE09F9B" w:rsidR="00492D1C" w:rsidRDefault="00492D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E65E5" w14:textId="5357DD84" w:rsidR="00492D1C" w:rsidRDefault="00492D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D20CA" w14:textId="5F730DAD" w:rsidR="00492D1C" w:rsidRDefault="00492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D6B"/>
    <w:multiLevelType w:val="hybridMultilevel"/>
    <w:tmpl w:val="20E666D0"/>
    <w:lvl w:ilvl="0" w:tplc="DB90A1A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97324"/>
    <w:multiLevelType w:val="multilevel"/>
    <w:tmpl w:val="C3A8AB4C"/>
    <w:lvl w:ilvl="0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26B51"/>
    <w:multiLevelType w:val="multilevel"/>
    <w:tmpl w:val="A0706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228EB"/>
    <w:multiLevelType w:val="hybridMultilevel"/>
    <w:tmpl w:val="A07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C7522"/>
    <w:multiLevelType w:val="multilevel"/>
    <w:tmpl w:val="0FF812F0"/>
    <w:lvl w:ilvl="0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529B4"/>
    <w:multiLevelType w:val="hybridMultilevel"/>
    <w:tmpl w:val="0FF812F0"/>
    <w:lvl w:ilvl="0" w:tplc="16006418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06AB5"/>
    <w:multiLevelType w:val="hybridMultilevel"/>
    <w:tmpl w:val="C3A8AB4C"/>
    <w:lvl w:ilvl="0" w:tplc="7072370E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E696CDC0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31"/>
    <w:rsid w:val="0005566E"/>
    <w:rsid w:val="00061CAB"/>
    <w:rsid w:val="00082888"/>
    <w:rsid w:val="000D4D6D"/>
    <w:rsid w:val="000E477B"/>
    <w:rsid w:val="000F326C"/>
    <w:rsid w:val="001323ED"/>
    <w:rsid w:val="00185287"/>
    <w:rsid w:val="001C56B0"/>
    <w:rsid w:val="002A1FFE"/>
    <w:rsid w:val="002A2B3D"/>
    <w:rsid w:val="002A3E99"/>
    <w:rsid w:val="00335147"/>
    <w:rsid w:val="00392363"/>
    <w:rsid w:val="003D7916"/>
    <w:rsid w:val="003F2CAF"/>
    <w:rsid w:val="003F6873"/>
    <w:rsid w:val="0045186D"/>
    <w:rsid w:val="004551BE"/>
    <w:rsid w:val="00492D1C"/>
    <w:rsid w:val="004B0BF6"/>
    <w:rsid w:val="004D3AD3"/>
    <w:rsid w:val="004E09E7"/>
    <w:rsid w:val="00510A05"/>
    <w:rsid w:val="00522FFE"/>
    <w:rsid w:val="00546AF6"/>
    <w:rsid w:val="00583B31"/>
    <w:rsid w:val="005A65DD"/>
    <w:rsid w:val="005B6FD3"/>
    <w:rsid w:val="005C1B31"/>
    <w:rsid w:val="00641205"/>
    <w:rsid w:val="00663946"/>
    <w:rsid w:val="00672F87"/>
    <w:rsid w:val="006D00F9"/>
    <w:rsid w:val="00741F7A"/>
    <w:rsid w:val="007A1060"/>
    <w:rsid w:val="007D1603"/>
    <w:rsid w:val="007D2E51"/>
    <w:rsid w:val="00841A72"/>
    <w:rsid w:val="008E3B37"/>
    <w:rsid w:val="00902E44"/>
    <w:rsid w:val="00915969"/>
    <w:rsid w:val="00946366"/>
    <w:rsid w:val="00983B2F"/>
    <w:rsid w:val="00A038CE"/>
    <w:rsid w:val="00AB7145"/>
    <w:rsid w:val="00AC749D"/>
    <w:rsid w:val="00AE566C"/>
    <w:rsid w:val="00B055D5"/>
    <w:rsid w:val="00B773F8"/>
    <w:rsid w:val="00BA47BA"/>
    <w:rsid w:val="00BF13F6"/>
    <w:rsid w:val="00C308CE"/>
    <w:rsid w:val="00C568AD"/>
    <w:rsid w:val="00C61A88"/>
    <w:rsid w:val="00C71B06"/>
    <w:rsid w:val="00C740C7"/>
    <w:rsid w:val="00CA39CD"/>
    <w:rsid w:val="00CC093F"/>
    <w:rsid w:val="00CD1DD1"/>
    <w:rsid w:val="00CE2944"/>
    <w:rsid w:val="00D23B91"/>
    <w:rsid w:val="00D73F82"/>
    <w:rsid w:val="00D810EF"/>
    <w:rsid w:val="00DB49C4"/>
    <w:rsid w:val="00F04C1C"/>
    <w:rsid w:val="00FB3F59"/>
    <w:rsid w:val="00FE7805"/>
    <w:rsid w:val="00FF3A86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F74A2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D1C"/>
  </w:style>
  <w:style w:type="paragraph" w:styleId="Footer">
    <w:name w:val="footer"/>
    <w:basedOn w:val="Normal"/>
    <w:link w:val="FooterChar"/>
    <w:uiPriority w:val="99"/>
    <w:unhideWhenUsed/>
    <w:rsid w:val="00492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D1C"/>
  </w:style>
  <w:style w:type="character" w:customStyle="1" w:styleId="apple-converted-space">
    <w:name w:val="apple-converted-space"/>
    <w:basedOn w:val="DefaultParagraphFont"/>
    <w:rsid w:val="004B0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D1C"/>
  </w:style>
  <w:style w:type="paragraph" w:styleId="Footer">
    <w:name w:val="footer"/>
    <w:basedOn w:val="Normal"/>
    <w:link w:val="FooterChar"/>
    <w:uiPriority w:val="99"/>
    <w:unhideWhenUsed/>
    <w:rsid w:val="00492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D1C"/>
  </w:style>
  <w:style w:type="character" w:customStyle="1" w:styleId="apple-converted-space">
    <w:name w:val="apple-converted-space"/>
    <w:basedOn w:val="DefaultParagraphFont"/>
    <w:rsid w:val="004B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34831-C1D9-4663-9116-160946B67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Hansten</dc:creator>
  <cp:lastModifiedBy>Boyce, Richard David</cp:lastModifiedBy>
  <cp:revision>4</cp:revision>
  <cp:lastPrinted>2016-05-10T16:18:00Z</cp:lastPrinted>
  <dcterms:created xsi:type="dcterms:W3CDTF">2018-10-25T22:08:00Z</dcterms:created>
  <dcterms:modified xsi:type="dcterms:W3CDTF">2018-10-26T20:19:00Z</dcterms:modified>
</cp:coreProperties>
</file>