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F6" w:rsidRPr="0064449F" w:rsidRDefault="006430F6" w:rsidP="006430F6">
      <w:pPr>
        <w:spacing w:after="0" w:line="200" w:lineRule="exact"/>
        <w:contextualSpacing/>
        <w:rPr>
          <w:rFonts w:ascii="Calibri" w:eastAsia="MS Mincho" w:hAnsi="Calibri" w:cs="Times New Roman"/>
          <w:sz w:val="20"/>
          <w:szCs w:val="20"/>
        </w:rPr>
      </w:pPr>
      <w:r>
        <w:rPr>
          <w:rFonts w:ascii="Calibri" w:eastAsia="MS Mincho" w:hAnsi="Calibri" w:cs="Times New Roman"/>
          <w:sz w:val="20"/>
          <w:szCs w:val="20"/>
        </w:rPr>
        <w:t xml:space="preserve">Summary of </w:t>
      </w:r>
      <w:r w:rsidRPr="0064449F">
        <w:rPr>
          <w:rFonts w:ascii="Calibri" w:eastAsia="MS Mincho" w:hAnsi="Calibri" w:cs="Times New Roman"/>
          <w:sz w:val="20"/>
          <w:szCs w:val="20"/>
        </w:rPr>
        <w:t xml:space="preserve">DIPS  </w:t>
      </w:r>
    </w:p>
    <w:tbl>
      <w:tblPr>
        <w:tblStyle w:val="TableGrid1"/>
        <w:tblW w:w="0" w:type="auto"/>
        <w:tblInd w:w="378" w:type="dxa"/>
        <w:tblLook w:val="04A0" w:firstRow="1" w:lastRow="0" w:firstColumn="1" w:lastColumn="0" w:noHBand="0" w:noVBand="1"/>
      </w:tblPr>
      <w:tblGrid>
        <w:gridCol w:w="1710"/>
        <w:gridCol w:w="1096"/>
        <w:gridCol w:w="3845"/>
      </w:tblGrid>
      <w:tr w:rsidR="006430F6" w:rsidRPr="0064449F" w:rsidTr="00B61D89">
        <w:trPr>
          <w:trHeight w:val="255"/>
        </w:trPr>
        <w:tc>
          <w:tcPr>
            <w:tcW w:w="1710" w:type="dxa"/>
            <w:shd w:val="clear" w:color="auto" w:fill="EEECE1" w:themeFill="background2"/>
            <w:noWrap/>
          </w:tcPr>
          <w:p w:rsidR="006430F6" w:rsidRPr="0064449F" w:rsidRDefault="006430F6" w:rsidP="00B61D89">
            <w:pPr>
              <w:rPr>
                <w:rFonts w:cs="Times New Roman"/>
                <w:sz w:val="16"/>
                <w:szCs w:val="16"/>
                <w:u w:val="single"/>
              </w:rPr>
            </w:pPr>
            <w:r w:rsidRPr="0064449F">
              <w:rPr>
                <w:rFonts w:cs="Times New Roman"/>
                <w:sz w:val="16"/>
                <w:szCs w:val="16"/>
                <w:u w:val="single"/>
              </w:rPr>
              <w:t>Citation</w:t>
            </w:r>
          </w:p>
        </w:tc>
        <w:tc>
          <w:tcPr>
            <w:tcW w:w="1096" w:type="dxa"/>
            <w:shd w:val="clear" w:color="auto" w:fill="EEECE1" w:themeFill="background2"/>
            <w:noWrap/>
          </w:tcPr>
          <w:p w:rsidR="006430F6" w:rsidRPr="0064449F" w:rsidRDefault="006430F6" w:rsidP="00B61D89">
            <w:pPr>
              <w:rPr>
                <w:rFonts w:cs="Times New Roman"/>
                <w:sz w:val="16"/>
                <w:szCs w:val="16"/>
                <w:u w:val="single"/>
              </w:rPr>
            </w:pPr>
            <w:r w:rsidRPr="0064449F">
              <w:rPr>
                <w:rFonts w:cs="Times New Roman"/>
                <w:sz w:val="16"/>
                <w:szCs w:val="16"/>
                <w:u w:val="single"/>
              </w:rPr>
              <w:t>Drug Interaction Probability Scale</w:t>
            </w:r>
          </w:p>
        </w:tc>
        <w:tc>
          <w:tcPr>
            <w:tcW w:w="3845" w:type="dxa"/>
            <w:shd w:val="clear" w:color="auto" w:fill="EEECE1" w:themeFill="background2"/>
          </w:tcPr>
          <w:p w:rsidR="006430F6" w:rsidRPr="0064449F" w:rsidRDefault="006430F6" w:rsidP="00B61D89">
            <w:pPr>
              <w:rPr>
                <w:rFonts w:cs="Times New Roman"/>
                <w:sz w:val="16"/>
                <w:szCs w:val="16"/>
                <w:u w:val="single"/>
              </w:rPr>
            </w:pPr>
            <w:r w:rsidRPr="0064449F">
              <w:rPr>
                <w:rFonts w:cs="Times New Roman"/>
                <w:sz w:val="16"/>
                <w:szCs w:val="16"/>
                <w:u w:val="single"/>
              </w:rPr>
              <w:t xml:space="preserve">Chemotherapy Medications </w:t>
            </w:r>
          </w:p>
        </w:tc>
      </w:tr>
      <w:tr w:rsidR="006430F6" w:rsidRPr="0064449F" w:rsidTr="00B61D89">
        <w:trPr>
          <w:trHeight w:val="255"/>
        </w:trPr>
        <w:tc>
          <w:tcPr>
            <w:tcW w:w="1710" w:type="dxa"/>
            <w:noWrap/>
          </w:tcPr>
          <w:p w:rsidR="006430F6" w:rsidRPr="0064449F" w:rsidRDefault="006430F6" w:rsidP="00B61D89">
            <w:pPr>
              <w:rPr>
                <w:rFonts w:cs="Times New Roman"/>
                <w:sz w:val="16"/>
                <w:szCs w:val="16"/>
              </w:rPr>
            </w:pPr>
            <w:r w:rsidRPr="0064449F">
              <w:rPr>
                <w:rFonts w:cs="Times New Roman"/>
                <w:sz w:val="16"/>
                <w:szCs w:val="16"/>
              </w:rPr>
              <w:t xml:space="preserve">2016 Okada </w:t>
            </w:r>
          </w:p>
        </w:tc>
        <w:tc>
          <w:tcPr>
            <w:tcW w:w="1096" w:type="dxa"/>
            <w:noWrap/>
          </w:tcPr>
          <w:p w:rsidR="006430F6" w:rsidRPr="0064449F" w:rsidRDefault="006430F6" w:rsidP="00B61D89">
            <w:pPr>
              <w:rPr>
                <w:rFonts w:cs="Times New Roman"/>
                <w:sz w:val="16"/>
                <w:szCs w:val="16"/>
              </w:rPr>
            </w:pPr>
            <w:r w:rsidRPr="0064449F">
              <w:rPr>
                <w:rFonts w:cs="Times New Roman"/>
                <w:sz w:val="16"/>
                <w:szCs w:val="16"/>
              </w:rPr>
              <w:t>4 (authors calculated 7)</w:t>
            </w:r>
          </w:p>
        </w:tc>
        <w:tc>
          <w:tcPr>
            <w:tcW w:w="3845" w:type="dxa"/>
          </w:tcPr>
          <w:p w:rsidR="006430F6" w:rsidRPr="0064449F" w:rsidRDefault="006430F6" w:rsidP="00B61D89">
            <w:pPr>
              <w:rPr>
                <w:rFonts w:cs="Times New Roman"/>
                <w:sz w:val="16"/>
                <w:szCs w:val="16"/>
              </w:rPr>
            </w:pPr>
            <w:r w:rsidRPr="0064449F">
              <w:rPr>
                <w:rFonts w:cs="Times New Roman"/>
                <w:b/>
                <w:sz w:val="16"/>
                <w:szCs w:val="16"/>
              </w:rPr>
              <w:t>Ifosphamide/etoposide</w:t>
            </w:r>
            <w:r w:rsidRPr="0064449F">
              <w:rPr>
                <w:rFonts w:cs="Times New Roman"/>
                <w:sz w:val="16"/>
                <w:szCs w:val="16"/>
              </w:rPr>
              <w:t xml:space="preserve"> + alternating with other regimen</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1984 Ward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3</w:t>
            </w:r>
          </w:p>
        </w:tc>
        <w:tc>
          <w:tcPr>
            <w:tcW w:w="3845" w:type="dxa"/>
          </w:tcPr>
          <w:p w:rsidR="006430F6" w:rsidRPr="0064449F" w:rsidRDefault="006430F6" w:rsidP="00B61D89">
            <w:pPr>
              <w:rPr>
                <w:rFonts w:cs="Times New Roman"/>
                <w:sz w:val="16"/>
                <w:szCs w:val="16"/>
              </w:rPr>
            </w:pPr>
            <w:proofErr w:type="spellStart"/>
            <w:r w:rsidRPr="0064449F">
              <w:rPr>
                <w:rFonts w:cs="Times New Roman"/>
                <w:sz w:val="16"/>
                <w:szCs w:val="16"/>
              </w:rPr>
              <w:t>vindesine</w:t>
            </w:r>
            <w:proofErr w:type="spellEnd"/>
            <w:r w:rsidRPr="0064449F">
              <w:rPr>
                <w:rFonts w:cs="Times New Roman"/>
                <w:sz w:val="16"/>
                <w:szCs w:val="16"/>
              </w:rPr>
              <w:t>/etoposide/cisplatin</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1990 Hall case 1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3</w:t>
            </w:r>
          </w:p>
        </w:tc>
        <w:tc>
          <w:tcPr>
            <w:tcW w:w="3845" w:type="dxa"/>
          </w:tcPr>
          <w:p w:rsidR="006430F6" w:rsidRPr="0064449F" w:rsidRDefault="006430F6" w:rsidP="00B61D89">
            <w:pPr>
              <w:rPr>
                <w:rFonts w:cs="Times New Roman"/>
                <w:b/>
                <w:sz w:val="16"/>
                <w:szCs w:val="16"/>
              </w:rPr>
            </w:pPr>
            <w:r w:rsidRPr="0064449F">
              <w:rPr>
                <w:rFonts w:cs="Times New Roman"/>
                <w:b/>
                <w:sz w:val="16"/>
                <w:szCs w:val="16"/>
              </w:rPr>
              <w:t>etoposide/cisplatin/ifosfamide/mesna</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1990 Hall case 2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2</w:t>
            </w:r>
          </w:p>
        </w:tc>
        <w:tc>
          <w:tcPr>
            <w:tcW w:w="3845" w:type="dxa"/>
          </w:tcPr>
          <w:p w:rsidR="006430F6" w:rsidRPr="0064449F" w:rsidRDefault="006430F6" w:rsidP="00B61D89">
            <w:pPr>
              <w:rPr>
                <w:rFonts w:cs="Times New Roman"/>
                <w:sz w:val="16"/>
                <w:szCs w:val="16"/>
              </w:rPr>
            </w:pPr>
            <w:proofErr w:type="spellStart"/>
            <w:r w:rsidRPr="0064449F">
              <w:rPr>
                <w:rFonts w:cs="Times New Roman"/>
                <w:sz w:val="16"/>
                <w:szCs w:val="16"/>
              </w:rPr>
              <w:t>doxorubin</w:t>
            </w:r>
            <w:proofErr w:type="spellEnd"/>
            <w:r w:rsidRPr="0064449F">
              <w:rPr>
                <w:rFonts w:cs="Times New Roman"/>
                <w:sz w:val="16"/>
                <w:szCs w:val="16"/>
              </w:rPr>
              <w:t>/ifosfamide/mesna</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1990 Hall case 3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5</w:t>
            </w:r>
          </w:p>
        </w:tc>
        <w:tc>
          <w:tcPr>
            <w:tcW w:w="3845" w:type="dxa"/>
          </w:tcPr>
          <w:p w:rsidR="006430F6" w:rsidRPr="0064449F" w:rsidRDefault="006430F6" w:rsidP="00B61D89">
            <w:pPr>
              <w:rPr>
                <w:rFonts w:cs="Times New Roman"/>
                <w:sz w:val="16"/>
                <w:szCs w:val="16"/>
              </w:rPr>
            </w:pPr>
            <w:proofErr w:type="spellStart"/>
            <w:r w:rsidRPr="0064449F">
              <w:rPr>
                <w:rFonts w:cs="Times New Roman"/>
                <w:sz w:val="16"/>
                <w:szCs w:val="16"/>
              </w:rPr>
              <w:t>doxorubin</w:t>
            </w:r>
            <w:proofErr w:type="spellEnd"/>
            <w:r w:rsidRPr="0064449F">
              <w:rPr>
                <w:rFonts w:cs="Times New Roman"/>
                <w:sz w:val="16"/>
                <w:szCs w:val="16"/>
              </w:rPr>
              <w:t>/ifosfamide/mesna/vincristine</w:t>
            </w:r>
          </w:p>
        </w:tc>
      </w:tr>
      <w:tr w:rsidR="006430F6" w:rsidRPr="0064449F" w:rsidTr="00B61D89">
        <w:trPr>
          <w:trHeight w:val="255"/>
        </w:trPr>
        <w:tc>
          <w:tcPr>
            <w:tcW w:w="1710" w:type="dxa"/>
            <w:noWrap/>
            <w:hideMark/>
          </w:tcPr>
          <w:p w:rsidR="006430F6" w:rsidRPr="0064449F" w:rsidRDefault="006430F6" w:rsidP="00B61D89">
            <w:pPr>
              <w:rPr>
                <w:rFonts w:cs="Times New Roman"/>
                <w:sz w:val="16"/>
                <w:szCs w:val="16"/>
              </w:rPr>
            </w:pPr>
            <w:r w:rsidRPr="0064449F">
              <w:rPr>
                <w:rFonts w:cs="Times New Roman"/>
                <w:sz w:val="16"/>
                <w:szCs w:val="16"/>
              </w:rPr>
              <w:t xml:space="preserve">1997 Le </w:t>
            </w:r>
          </w:p>
        </w:tc>
        <w:tc>
          <w:tcPr>
            <w:tcW w:w="1096" w:type="dxa"/>
            <w:noWrap/>
            <w:hideMark/>
          </w:tcPr>
          <w:p w:rsidR="006430F6" w:rsidRPr="0064449F" w:rsidRDefault="006430F6" w:rsidP="00B61D89">
            <w:pPr>
              <w:rPr>
                <w:rFonts w:cs="Times New Roman"/>
                <w:sz w:val="16"/>
                <w:szCs w:val="16"/>
              </w:rPr>
            </w:pPr>
            <w:r w:rsidRPr="0064449F">
              <w:rPr>
                <w:rFonts w:cs="Times New Roman"/>
                <w:sz w:val="16"/>
                <w:szCs w:val="16"/>
              </w:rPr>
              <w:t>1</w:t>
            </w:r>
          </w:p>
        </w:tc>
        <w:tc>
          <w:tcPr>
            <w:tcW w:w="3845" w:type="dxa"/>
          </w:tcPr>
          <w:p w:rsidR="006430F6" w:rsidRPr="0064449F" w:rsidRDefault="006430F6" w:rsidP="00B61D89">
            <w:pPr>
              <w:rPr>
                <w:rFonts w:cs="Times New Roman"/>
                <w:sz w:val="16"/>
                <w:szCs w:val="16"/>
              </w:rPr>
            </w:pPr>
            <w:r w:rsidRPr="0064449F">
              <w:rPr>
                <w:rFonts w:cs="Times New Roman"/>
                <w:sz w:val="16"/>
                <w:szCs w:val="16"/>
              </w:rPr>
              <w:t>carboplatin/etoposide</w:t>
            </w:r>
          </w:p>
        </w:tc>
      </w:tr>
    </w:tbl>
    <w:p w:rsidR="006430F6" w:rsidRPr="0064449F" w:rsidRDefault="006430F6" w:rsidP="006430F6">
      <w:pPr>
        <w:spacing w:after="0" w:line="240" w:lineRule="auto"/>
        <w:rPr>
          <w:rFonts w:ascii="Times New Roman" w:eastAsia="MS Mincho" w:hAnsi="Times New Roman" w:cs="Times New Roman"/>
          <w:sz w:val="24"/>
          <w:szCs w:val="24"/>
        </w:rPr>
      </w:pPr>
      <w:r w:rsidRPr="0064449F">
        <w:rPr>
          <w:rFonts w:ascii="Times New Roman" w:eastAsia="MS Mincho" w:hAnsi="Times New Roman" w:cs="Times New Roman"/>
          <w:sz w:val="24"/>
          <w:szCs w:val="24"/>
        </w:rPr>
        <w:t xml:space="preserve">Assumptions for above DIPS.  </w:t>
      </w:r>
    </w:p>
    <w:p w:rsidR="006430F6" w:rsidRPr="0064449F" w:rsidRDefault="006430F6" w:rsidP="006430F6">
      <w:pPr>
        <w:numPr>
          <w:ilvl w:val="0"/>
          <w:numId w:val="2"/>
        </w:numPr>
        <w:spacing w:after="0" w:line="240" w:lineRule="auto"/>
        <w:contextualSpacing/>
        <w:rPr>
          <w:rFonts w:ascii="Times New Roman" w:eastAsia="MS Mincho" w:hAnsi="Times New Roman" w:cs="Times New Roman"/>
          <w:sz w:val="24"/>
          <w:szCs w:val="24"/>
        </w:rPr>
      </w:pPr>
      <w:r w:rsidRPr="0064449F">
        <w:rPr>
          <w:rFonts w:ascii="Times New Roman" w:eastAsia="MS Mincho" w:hAnsi="Times New Roman" w:cs="Times New Roman"/>
          <w:sz w:val="24"/>
          <w:szCs w:val="24"/>
        </w:rPr>
        <w:t xml:space="preserve">Unknown mechanism of action so questions 2 and 3 are always unknown Authors of Okada likely answered yes.  </w:t>
      </w:r>
    </w:p>
    <w:p w:rsidR="006B27E6" w:rsidRDefault="006430F6" w:rsidP="006430F6">
      <w:pPr>
        <w:rPr>
          <w:rFonts w:ascii="Times New Roman" w:eastAsia="MS Mincho" w:hAnsi="Times New Roman" w:cs="Times New Roman"/>
          <w:sz w:val="24"/>
          <w:szCs w:val="24"/>
        </w:rPr>
      </w:pPr>
      <w:commentRangeStart w:id="0"/>
      <w:r w:rsidRPr="0064449F">
        <w:rPr>
          <w:rFonts w:ascii="Times New Roman" w:eastAsia="MS Mincho" w:hAnsi="Times New Roman" w:cs="Times New Roman"/>
          <w:sz w:val="24"/>
          <w:szCs w:val="24"/>
        </w:rPr>
        <w:t xml:space="preserve">Dexamethasone is a potential confounder based on what appeared to be reasonable evidence in </w:t>
      </w:r>
      <w:proofErr w:type="spellStart"/>
      <w:r w:rsidRPr="0064449F">
        <w:rPr>
          <w:rFonts w:ascii="Times New Roman" w:eastAsia="MS Mincho" w:hAnsi="Times New Roman" w:cs="Times New Roman"/>
          <w:sz w:val="24"/>
          <w:szCs w:val="24"/>
        </w:rPr>
        <w:t>Lexicomp</w:t>
      </w:r>
      <w:proofErr w:type="spellEnd"/>
      <w:r w:rsidRPr="0064449F">
        <w:rPr>
          <w:rFonts w:ascii="Times New Roman" w:eastAsia="MS Mincho" w:hAnsi="Times New Roman" w:cs="Times New Roman"/>
          <w:sz w:val="24"/>
          <w:szCs w:val="24"/>
        </w:rPr>
        <w:t>. Okada doesn’t mention dexamethasone as a potential confounder</w:t>
      </w:r>
      <w:commentRangeEnd w:id="0"/>
      <w:r w:rsidR="00025869">
        <w:rPr>
          <w:rStyle w:val="CommentReference"/>
        </w:rPr>
        <w:commentReference w:id="0"/>
      </w:r>
    </w:p>
    <w:p w:rsidR="006430F6" w:rsidRDefault="006430F6" w:rsidP="006430F6">
      <w:pPr>
        <w:rPr>
          <w:rFonts w:ascii="Times New Roman" w:eastAsia="MS Mincho" w:hAnsi="Times New Roman" w:cs="Times New Roman"/>
          <w:sz w:val="24"/>
          <w:szCs w:val="24"/>
        </w:rPr>
      </w:pPr>
    </w:p>
    <w:p w:rsidR="006430F6" w:rsidRDefault="006430F6" w:rsidP="006430F6">
      <w:pPr>
        <w:rPr>
          <w:rFonts w:ascii="Times New Roman" w:eastAsia="MS Mincho" w:hAnsi="Times New Roman" w:cs="Times New Roman"/>
          <w:sz w:val="24"/>
          <w:szCs w:val="24"/>
        </w:rPr>
      </w:pPr>
      <w:r>
        <w:rPr>
          <w:rFonts w:ascii="Times New Roman" w:eastAsia="MS Mincho" w:hAnsi="Times New Roman" w:cs="Times New Roman"/>
          <w:sz w:val="24"/>
          <w:szCs w:val="24"/>
        </w:rPr>
        <w:t>Expert Feedback on the Interaction/Decision Tree</w:t>
      </w:r>
    </w:p>
    <w:p w:rsidR="006430F6" w:rsidRPr="006430F6" w:rsidRDefault="006430F6" w:rsidP="006430F6">
      <w:pPr>
        <w:rPr>
          <w:rFonts w:ascii="Times New Roman" w:hAnsi="Times New Roman" w:cs="Times New Roman"/>
          <w:sz w:val="24"/>
          <w:szCs w:val="24"/>
        </w:rPr>
      </w:pPr>
      <w:r w:rsidRPr="006430F6">
        <w:rPr>
          <w:rFonts w:ascii="Times New Roman" w:hAnsi="Times New Roman" w:cs="Times New Roman"/>
          <w:sz w:val="24"/>
          <w:szCs w:val="24"/>
        </w:rPr>
        <w:t xml:space="preserve">In general we consider warfarin and </w:t>
      </w:r>
      <w:proofErr w:type="spellStart"/>
      <w:r w:rsidRPr="006430F6">
        <w:rPr>
          <w:rFonts w:ascii="Times New Roman" w:hAnsi="Times New Roman" w:cs="Times New Roman"/>
          <w:sz w:val="24"/>
          <w:szCs w:val="24"/>
        </w:rPr>
        <w:t>ifos</w:t>
      </w:r>
      <w:proofErr w:type="spellEnd"/>
      <w:r w:rsidRPr="006430F6">
        <w:rPr>
          <w:rFonts w:ascii="Times New Roman" w:hAnsi="Times New Roman" w:cs="Times New Roman"/>
          <w:sz w:val="24"/>
          <w:szCs w:val="24"/>
        </w:rPr>
        <w:t xml:space="preserve"> or etoposide to be a drug interaction and just monitor the INR appropriately. We check the INR daily while they are hospitalized and adjust the warfarin dose as needed but if they remain outpatient for chemo then I’m not entirely sure if the providers set up appointment to have the INR monitored more frequently. I’m also not sure that many of the inpatient pharmacists also recommend more frequent INRs for 2weeks post chemo (since elevations were reported up to 16days post etoposide administration). I think having a guideline recommending more frequent INR monitoring (like 2x/</w:t>
      </w:r>
      <w:proofErr w:type="spellStart"/>
      <w:r w:rsidRPr="006430F6">
        <w:rPr>
          <w:rFonts w:ascii="Times New Roman" w:hAnsi="Times New Roman" w:cs="Times New Roman"/>
          <w:sz w:val="24"/>
          <w:szCs w:val="24"/>
        </w:rPr>
        <w:t>wk</w:t>
      </w:r>
      <w:proofErr w:type="spellEnd"/>
      <w:r w:rsidRPr="006430F6">
        <w:rPr>
          <w:rFonts w:ascii="Times New Roman" w:hAnsi="Times New Roman" w:cs="Times New Roman"/>
          <w:sz w:val="24"/>
          <w:szCs w:val="24"/>
        </w:rPr>
        <w:t xml:space="preserve"> for 2weeks following IE chemo) would be helpful rather than just empirically dose reducing warfarin for a few days around chemo administration. </w:t>
      </w:r>
    </w:p>
    <w:sectPr w:rsidR="006430F6" w:rsidRPr="006430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w:date="2016-10-30T13:43:00Z" w:initials="j">
    <w:p w:rsidR="00025869" w:rsidRDefault="00025869">
      <w:pPr>
        <w:pStyle w:val="CommentText"/>
      </w:pPr>
      <w:r>
        <w:rPr>
          <w:rStyle w:val="CommentReference"/>
        </w:rPr>
        <w:annotationRef/>
      </w:r>
      <w:proofErr w:type="spellStart"/>
      <w:r>
        <w:t>Lexicomp</w:t>
      </w:r>
      <w:proofErr w:type="spellEnd"/>
      <w:r>
        <w:t xml:space="preserve"> talks about generic steroids having increased warfarin response. However, dexamethasone is a PXR and CAR inducer which leads to CYP enzyme induction, including in vitro 2C9. </w:t>
      </w:r>
      <w:proofErr w:type="spellStart"/>
      <w:r>
        <w:t>Lexicomp</w:t>
      </w:r>
      <w:proofErr w:type="spellEnd"/>
      <w:r>
        <w:t xml:space="preserve"> does not seem to be aware of this data. Thus, </w:t>
      </w:r>
      <w:proofErr w:type="spellStart"/>
      <w:r>
        <w:t>dexameth</w:t>
      </w:r>
      <w:proofErr w:type="spellEnd"/>
      <w:r>
        <w:t xml:space="preserve"> could be a confounder, but it would likely decrease the effect of another inhibitor</w:t>
      </w:r>
      <w:r w:rsidR="00C23492">
        <w:t>.</w:t>
      </w:r>
    </w:p>
    <w:p w:rsidR="00C23492" w:rsidRDefault="00C23492">
      <w:pPr>
        <w:pStyle w:val="CommentText"/>
      </w:pPr>
      <w:r>
        <w:t xml:space="preserve">On the DIPS, </w:t>
      </w:r>
      <w:proofErr w:type="spellStart"/>
      <w:r>
        <w:t>dexameth</w:t>
      </w:r>
      <w:proofErr w:type="spellEnd"/>
      <w:r>
        <w:t xml:space="preserve"> would not be an alternative cause since it does not appear to inhibit 2C9. The Dips score would then be 5.</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F53"/>
    <w:multiLevelType w:val="hybridMultilevel"/>
    <w:tmpl w:val="288A9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51BA2"/>
    <w:multiLevelType w:val="hybridMultilevel"/>
    <w:tmpl w:val="DA60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0F6"/>
    <w:rsid w:val="00025869"/>
    <w:rsid w:val="006430F6"/>
    <w:rsid w:val="006B27E6"/>
    <w:rsid w:val="00817B81"/>
    <w:rsid w:val="00A145FF"/>
    <w:rsid w:val="00B12210"/>
    <w:rsid w:val="00BF64DF"/>
    <w:rsid w:val="00C2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430F6"/>
    <w:pPr>
      <w:spacing w:after="0" w:line="240" w:lineRule="auto"/>
    </w:pPr>
    <w:rPr>
      <w:rFonts w:ascii="Verdana" w:eastAsia="MS Mincho" w:hAnsi="Verdan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43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69"/>
    <w:rPr>
      <w:sz w:val="16"/>
      <w:szCs w:val="16"/>
    </w:rPr>
  </w:style>
  <w:style w:type="paragraph" w:styleId="CommentText">
    <w:name w:val="annotation text"/>
    <w:basedOn w:val="Normal"/>
    <w:link w:val="CommentTextChar"/>
    <w:uiPriority w:val="99"/>
    <w:semiHidden/>
    <w:unhideWhenUsed/>
    <w:rsid w:val="00025869"/>
    <w:pPr>
      <w:spacing w:line="240" w:lineRule="auto"/>
    </w:pPr>
    <w:rPr>
      <w:sz w:val="20"/>
      <w:szCs w:val="20"/>
    </w:rPr>
  </w:style>
  <w:style w:type="character" w:customStyle="1" w:styleId="CommentTextChar">
    <w:name w:val="Comment Text Char"/>
    <w:basedOn w:val="DefaultParagraphFont"/>
    <w:link w:val="CommentText"/>
    <w:uiPriority w:val="99"/>
    <w:semiHidden/>
    <w:rsid w:val="00025869"/>
    <w:rPr>
      <w:sz w:val="20"/>
      <w:szCs w:val="20"/>
    </w:rPr>
  </w:style>
  <w:style w:type="paragraph" w:styleId="CommentSubject">
    <w:name w:val="annotation subject"/>
    <w:basedOn w:val="CommentText"/>
    <w:next w:val="CommentText"/>
    <w:link w:val="CommentSubjectChar"/>
    <w:uiPriority w:val="99"/>
    <w:semiHidden/>
    <w:unhideWhenUsed/>
    <w:rsid w:val="00025869"/>
    <w:rPr>
      <w:b/>
      <w:bCs/>
    </w:rPr>
  </w:style>
  <w:style w:type="character" w:customStyle="1" w:styleId="CommentSubjectChar">
    <w:name w:val="Comment Subject Char"/>
    <w:basedOn w:val="CommentTextChar"/>
    <w:link w:val="CommentSubject"/>
    <w:uiPriority w:val="99"/>
    <w:semiHidden/>
    <w:rsid w:val="00025869"/>
    <w:rPr>
      <w:b/>
      <w:bCs/>
      <w:sz w:val="20"/>
      <w:szCs w:val="20"/>
    </w:rPr>
  </w:style>
  <w:style w:type="paragraph" w:styleId="BalloonText">
    <w:name w:val="Balloon Text"/>
    <w:basedOn w:val="Normal"/>
    <w:link w:val="BalloonTextChar"/>
    <w:uiPriority w:val="99"/>
    <w:semiHidden/>
    <w:unhideWhenUsed/>
    <w:rsid w:val="00025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6430F6"/>
    <w:pPr>
      <w:spacing w:after="0" w:line="240" w:lineRule="auto"/>
    </w:pPr>
    <w:rPr>
      <w:rFonts w:ascii="Verdana" w:eastAsia="MS Mincho" w:hAnsi="Verdan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43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869"/>
    <w:rPr>
      <w:sz w:val="16"/>
      <w:szCs w:val="16"/>
    </w:rPr>
  </w:style>
  <w:style w:type="paragraph" w:styleId="CommentText">
    <w:name w:val="annotation text"/>
    <w:basedOn w:val="Normal"/>
    <w:link w:val="CommentTextChar"/>
    <w:uiPriority w:val="99"/>
    <w:semiHidden/>
    <w:unhideWhenUsed/>
    <w:rsid w:val="00025869"/>
    <w:pPr>
      <w:spacing w:line="240" w:lineRule="auto"/>
    </w:pPr>
    <w:rPr>
      <w:sz w:val="20"/>
      <w:szCs w:val="20"/>
    </w:rPr>
  </w:style>
  <w:style w:type="character" w:customStyle="1" w:styleId="CommentTextChar">
    <w:name w:val="Comment Text Char"/>
    <w:basedOn w:val="DefaultParagraphFont"/>
    <w:link w:val="CommentText"/>
    <w:uiPriority w:val="99"/>
    <w:semiHidden/>
    <w:rsid w:val="00025869"/>
    <w:rPr>
      <w:sz w:val="20"/>
      <w:szCs w:val="20"/>
    </w:rPr>
  </w:style>
  <w:style w:type="paragraph" w:styleId="CommentSubject">
    <w:name w:val="annotation subject"/>
    <w:basedOn w:val="CommentText"/>
    <w:next w:val="CommentText"/>
    <w:link w:val="CommentSubjectChar"/>
    <w:uiPriority w:val="99"/>
    <w:semiHidden/>
    <w:unhideWhenUsed/>
    <w:rsid w:val="00025869"/>
    <w:rPr>
      <w:b/>
      <w:bCs/>
    </w:rPr>
  </w:style>
  <w:style w:type="character" w:customStyle="1" w:styleId="CommentSubjectChar">
    <w:name w:val="Comment Subject Char"/>
    <w:basedOn w:val="CommentTextChar"/>
    <w:link w:val="CommentSubject"/>
    <w:uiPriority w:val="99"/>
    <w:semiHidden/>
    <w:rsid w:val="00025869"/>
    <w:rPr>
      <w:b/>
      <w:bCs/>
      <w:sz w:val="20"/>
      <w:szCs w:val="20"/>
    </w:rPr>
  </w:style>
  <w:style w:type="paragraph" w:styleId="BalloonText">
    <w:name w:val="Balloon Text"/>
    <w:basedOn w:val="Normal"/>
    <w:link w:val="BalloonTextChar"/>
    <w:uiPriority w:val="99"/>
    <w:semiHidden/>
    <w:unhideWhenUsed/>
    <w:rsid w:val="00025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W Draper</dc:creator>
  <cp:lastModifiedBy>john</cp:lastModifiedBy>
  <cp:revision>3</cp:revision>
  <dcterms:created xsi:type="dcterms:W3CDTF">2016-10-30T20:28:00Z</dcterms:created>
  <dcterms:modified xsi:type="dcterms:W3CDTF">2016-10-30T20:43:00Z</dcterms:modified>
</cp:coreProperties>
</file>