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AC63D" w14:textId="057DC986" w:rsidR="000E2492" w:rsidRDefault="00AA2D82" w:rsidP="000E2492">
      <w:pPr>
        <w:pStyle w:val="Heading2"/>
      </w:pPr>
      <w:r w:rsidRPr="00AA2D82">
        <w:t>Contextual information/modifying factors</w:t>
      </w:r>
    </w:p>
    <w:p w14:paraId="5DB3FBCF" w14:textId="77777777" w:rsidR="000E2492" w:rsidRDefault="000E2492" w:rsidP="00F74956"/>
    <w:p w14:paraId="5CD01262" w14:textId="77777777" w:rsidR="000E2492" w:rsidRPr="000E2492" w:rsidRDefault="000E2492" w:rsidP="000E2492">
      <w:pPr>
        <w:rPr>
          <w:b/>
        </w:rPr>
      </w:pPr>
      <w:r w:rsidRPr="000E2492">
        <w:rPr>
          <w:b/>
        </w:rPr>
        <w:t>DDI minimum information models definitions</w:t>
      </w:r>
    </w:p>
    <w:p w14:paraId="355E1FCE" w14:textId="77777777" w:rsidR="000E2492" w:rsidRDefault="00BA022A" w:rsidP="000E2492">
      <w:hyperlink r:id="rId9" w:anchor="gid=0" w:history="1">
        <w:r w:rsidR="000E2492" w:rsidRPr="00FE2290">
          <w:rPr>
            <w:rStyle w:val="Hyperlink"/>
          </w:rPr>
          <w:t>https://docs.google.com/spreadsheets/d/1dhUp496riwZ0AHqRP7I85oEvuP2jjEI0rcw1Fcm2zI8/edit#gid=0</w:t>
        </w:r>
      </w:hyperlink>
      <w:r w:rsidR="000E2492">
        <w:t xml:space="preserve">  </w:t>
      </w:r>
    </w:p>
    <w:p w14:paraId="76F6F261" w14:textId="77777777" w:rsidR="000E2492" w:rsidRDefault="000E2492" w:rsidP="000E2492"/>
    <w:p w14:paraId="7ABD7D8D" w14:textId="01D0935C" w:rsidR="000E2492" w:rsidRDefault="006B30E0" w:rsidP="00502894">
      <w:pPr>
        <w:pStyle w:val="Heading3"/>
      </w:pPr>
      <w:r>
        <w:t>Proposed</w:t>
      </w:r>
      <w:r w:rsidR="000E2492">
        <w:t xml:space="preserve"> User-Centered Definition</w:t>
      </w:r>
      <w:r>
        <w:t xml:space="preserve"> (</w:t>
      </w:r>
      <w:proofErr w:type="spellStart"/>
      <w:r>
        <w:t>Qualtrics</w:t>
      </w:r>
      <w:proofErr w:type="spellEnd"/>
      <w:r>
        <w:t>)</w:t>
      </w:r>
    </w:p>
    <w:p w14:paraId="5286966A" w14:textId="77777777" w:rsidR="000E2492" w:rsidRDefault="000E2492" w:rsidP="00F74956"/>
    <w:p w14:paraId="104534A8" w14:textId="48843091" w:rsidR="000E2492" w:rsidRPr="00D25FE0" w:rsidRDefault="00AA2D82" w:rsidP="00F74956">
      <w:pPr>
        <w:rPr>
          <w:b/>
        </w:rPr>
      </w:pPr>
      <w:r w:rsidRPr="00AA2D82">
        <w:rPr>
          <w:b/>
        </w:rPr>
        <w:t>Contextual information/modifying factors</w:t>
      </w:r>
      <w:r w:rsidR="000E2492" w:rsidRPr="00D25FE0">
        <w:rPr>
          <w:b/>
        </w:rPr>
        <w:t>:</w:t>
      </w:r>
    </w:p>
    <w:p w14:paraId="1C7FD7AB" w14:textId="0259C037" w:rsidR="00F47E63" w:rsidRPr="003A057E" w:rsidRDefault="005041E9" w:rsidP="00F74956">
      <w:r>
        <w:t>F</w:t>
      </w:r>
      <w:r w:rsidR="00E00C4E" w:rsidRPr="003A057E">
        <w:t xml:space="preserve">actors such as </w:t>
      </w:r>
      <w:r>
        <w:t xml:space="preserve">patient </w:t>
      </w:r>
      <w:r w:rsidR="00E00C4E" w:rsidRPr="003A057E">
        <w:t>age</w:t>
      </w:r>
      <w:r w:rsidR="003A057E">
        <w:t xml:space="preserve">, </w:t>
      </w:r>
      <w:r>
        <w:t xml:space="preserve">patient health conditions, treatment dosage form, </w:t>
      </w:r>
      <w:r w:rsidR="00E00C4E" w:rsidRPr="003A057E">
        <w:t xml:space="preserve">or concurrent </w:t>
      </w:r>
      <w:r w:rsidR="003D3B98" w:rsidRPr="003A057E">
        <w:t>medications</w:t>
      </w:r>
      <w:r w:rsidR="003D3B98">
        <w:t xml:space="preserve"> that</w:t>
      </w:r>
      <w:r w:rsidR="00B24A3C" w:rsidRPr="003A057E">
        <w:t xml:space="preserve"> </w:t>
      </w:r>
      <w:r>
        <w:t>might</w:t>
      </w:r>
      <w:r w:rsidR="00B24A3C" w:rsidRPr="003A057E">
        <w:t xml:space="preserve"> </w:t>
      </w:r>
      <w:r w:rsidR="00F576A5">
        <w:t>alter</w:t>
      </w:r>
      <w:r w:rsidR="00E00C4E" w:rsidRPr="003A057E">
        <w:t xml:space="preserve"> the risk of a drug-drug interaction clinical consequence</w:t>
      </w:r>
      <w:r w:rsidR="00646543">
        <w:t xml:space="preserve"> or its seriousness</w:t>
      </w:r>
      <w:r w:rsidR="00B24A3C" w:rsidRPr="003A057E">
        <w:t>.</w:t>
      </w:r>
    </w:p>
    <w:p w14:paraId="40C2A210" w14:textId="77777777" w:rsidR="006B0168" w:rsidRDefault="006B0168" w:rsidP="00F74956">
      <w:bookmarkStart w:id="0" w:name="_GoBack"/>
      <w:bookmarkEnd w:id="0"/>
    </w:p>
    <w:p w14:paraId="16368031" w14:textId="77777777" w:rsidR="00017550" w:rsidRDefault="00502894" w:rsidP="00502894">
      <w:pPr>
        <w:rPr>
          <w:b/>
        </w:rPr>
      </w:pPr>
      <w:r w:rsidRPr="00D95CA5">
        <w:rPr>
          <w:b/>
        </w:rPr>
        <w:t>For example:</w:t>
      </w:r>
      <w:r w:rsidR="00DF70D2">
        <w:rPr>
          <w:b/>
        </w:rPr>
        <w:t xml:space="preserve">  </w:t>
      </w:r>
    </w:p>
    <w:p w14:paraId="076E7883" w14:textId="098E3AD6" w:rsidR="00DF70D2" w:rsidRPr="00EE0D8A" w:rsidRDefault="00E00C4E" w:rsidP="00E00C4E">
      <w:pPr>
        <w:pStyle w:val="ListParagraph"/>
        <w:numPr>
          <w:ilvl w:val="0"/>
          <w:numId w:val="2"/>
        </w:numPr>
      </w:pPr>
      <w:r>
        <w:t>“</w:t>
      </w:r>
      <w:r w:rsidRPr="00E00C4E">
        <w:t>Both corticosteroids and aldosterone antagonists have been shown to substantially increase the risk of UGIB in patients on NSAIDs, with relative risks of 12.8 and 11 respectively compared to a risk of 4.3 with NSAIDs alone (</w:t>
      </w:r>
      <w:proofErr w:type="spellStart"/>
      <w:r w:rsidRPr="00E00C4E">
        <w:t>Masclee</w:t>
      </w:r>
      <w:proofErr w:type="spellEnd"/>
      <w:r w:rsidRPr="00E00C4E">
        <w:t xml:space="preserve"> et al. </w:t>
      </w:r>
      <w:r w:rsidRPr="00E00C4E">
        <w:rPr>
          <w:i/>
        </w:rPr>
        <w:t>Gastroenterology</w:t>
      </w:r>
      <w:r>
        <w:t xml:space="preserve">. </w:t>
      </w:r>
      <w:r w:rsidRPr="00E00C4E">
        <w:t>2014</w:t>
      </w:r>
      <w:proofErr w:type="gramStart"/>
      <w:r w:rsidRPr="00E00C4E">
        <w:t>;147:784</w:t>
      </w:r>
      <w:proofErr w:type="gramEnd"/>
      <w:r w:rsidRPr="00E00C4E">
        <w:t>-92.)</w:t>
      </w:r>
      <w:r>
        <w:t>”</w:t>
      </w:r>
    </w:p>
    <w:p w14:paraId="13F0E3B9" w14:textId="34134440" w:rsidR="00017550" w:rsidRPr="00E00C4E" w:rsidRDefault="00972925" w:rsidP="00E00C4E">
      <w:pPr>
        <w:pStyle w:val="ListParagraph"/>
        <w:numPr>
          <w:ilvl w:val="1"/>
          <w:numId w:val="5"/>
        </w:numPr>
      </w:pPr>
      <w:r w:rsidRPr="00E00C4E">
        <w:rPr>
          <w:b/>
        </w:rPr>
        <w:t>S</w:t>
      </w:r>
      <w:r w:rsidR="00396F33" w:rsidRPr="00E00C4E">
        <w:rPr>
          <w:b/>
        </w:rPr>
        <w:t>ource</w:t>
      </w:r>
      <w:r w:rsidRPr="00E00C4E">
        <w:t xml:space="preserve">:  </w:t>
      </w:r>
      <w:r w:rsidR="00E00C4E">
        <w:t xml:space="preserve">Footnote 5 to </w:t>
      </w:r>
      <w:r w:rsidR="00E00C4E" w:rsidRPr="00E00C4E">
        <w:t>Warfarin-NSAID Decision Table</w:t>
      </w:r>
      <w:r w:rsidRPr="00E00C4E">
        <w:t xml:space="preserve">, </w:t>
      </w:r>
      <w:r w:rsidR="00E00C4E" w:rsidRPr="00E00C4E">
        <w:t>NIH Project:  R21-HS023826-01</w:t>
      </w:r>
      <w:r w:rsidRPr="00E00C4E">
        <w:t xml:space="preserve">; Title: Individualized Drug Interaction Alerts; </w:t>
      </w:r>
      <w:r w:rsidR="00A64B0B" w:rsidRPr="00E00C4E">
        <w:t xml:space="preserve">Authors: Daniel C. Malone , University of Arizona; John Horn, Philip </w:t>
      </w:r>
      <w:proofErr w:type="spellStart"/>
      <w:r w:rsidR="00A64B0B" w:rsidRPr="00E00C4E">
        <w:t>Hansten</w:t>
      </w:r>
      <w:proofErr w:type="spellEnd"/>
      <w:r w:rsidR="00A64B0B" w:rsidRPr="00E00C4E">
        <w:t>, University of Washington</w:t>
      </w:r>
    </w:p>
    <w:p w14:paraId="56C6A635" w14:textId="6C885D94" w:rsidR="00017550" w:rsidRPr="00EE0D8A" w:rsidRDefault="0032665F" w:rsidP="0032665F">
      <w:pPr>
        <w:pStyle w:val="ListParagraph"/>
        <w:numPr>
          <w:ilvl w:val="0"/>
          <w:numId w:val="2"/>
        </w:numPr>
      </w:pPr>
      <w:r>
        <w:t>“</w:t>
      </w:r>
      <w:r w:rsidRPr="0032665F">
        <w:t xml:space="preserve">A number of factors have been associated with an increased risk of hyperkalemia. These include impaired renal function, diabetes mellitus, infrequent serum potassium monitoring, baseline serum potassium level, </w:t>
      </w:r>
      <w:proofErr w:type="gramStart"/>
      <w:r w:rsidRPr="0032665F">
        <w:t>angiotensin</w:t>
      </w:r>
      <w:proofErr w:type="gramEnd"/>
      <w:r w:rsidRPr="0032665F">
        <w:t xml:space="preserve"> converting enzyme inhibitors (ACEIs), angiotensin receptor blockers (ARBs). (</w:t>
      </w:r>
      <w:proofErr w:type="spellStart"/>
      <w:r w:rsidRPr="0032665F">
        <w:t>Henz</w:t>
      </w:r>
      <w:proofErr w:type="spellEnd"/>
      <w:r w:rsidRPr="0032665F">
        <w:t xml:space="preserve"> S et al. </w:t>
      </w:r>
      <w:proofErr w:type="spellStart"/>
      <w:r w:rsidRPr="0032665F">
        <w:rPr>
          <w:i/>
        </w:rPr>
        <w:t>Nephrol</w:t>
      </w:r>
      <w:proofErr w:type="spellEnd"/>
      <w:r w:rsidRPr="0032665F">
        <w:rPr>
          <w:i/>
        </w:rPr>
        <w:t xml:space="preserve"> Dial Transplant</w:t>
      </w:r>
      <w:r>
        <w:t xml:space="preserve">. </w:t>
      </w:r>
      <w:r w:rsidRPr="0032665F">
        <w:t>2008;23:3939-45; Eschmann E et</w:t>
      </w:r>
      <w:r>
        <w:t xml:space="preserve"> </w:t>
      </w:r>
      <w:r w:rsidRPr="0032665F">
        <w:t xml:space="preserve">al. </w:t>
      </w:r>
      <w:proofErr w:type="spellStart"/>
      <w:r w:rsidRPr="0032665F">
        <w:rPr>
          <w:i/>
        </w:rPr>
        <w:t>Eur</w:t>
      </w:r>
      <w:proofErr w:type="spellEnd"/>
      <w:r w:rsidRPr="0032665F">
        <w:rPr>
          <w:i/>
        </w:rPr>
        <w:t xml:space="preserve"> J </w:t>
      </w:r>
      <w:proofErr w:type="spellStart"/>
      <w:r w:rsidRPr="0032665F">
        <w:rPr>
          <w:i/>
        </w:rPr>
        <w:t>Clin</w:t>
      </w:r>
      <w:proofErr w:type="spellEnd"/>
      <w:r w:rsidRPr="0032665F">
        <w:rPr>
          <w:i/>
        </w:rPr>
        <w:t xml:space="preserve"> </w:t>
      </w:r>
      <w:proofErr w:type="spellStart"/>
      <w:r w:rsidRPr="0032665F">
        <w:rPr>
          <w:i/>
        </w:rPr>
        <w:t>Pharmacol</w:t>
      </w:r>
      <w:proofErr w:type="spellEnd"/>
      <w:r w:rsidRPr="0032665F">
        <w:t xml:space="preserve">. 2014;70:215-23; </w:t>
      </w:r>
      <w:proofErr w:type="spellStart"/>
      <w:r w:rsidRPr="0032665F">
        <w:t>Indermitte</w:t>
      </w:r>
      <w:proofErr w:type="spellEnd"/>
      <w:r w:rsidRPr="0032665F">
        <w:t xml:space="preserve"> J et al. </w:t>
      </w:r>
      <w:r w:rsidRPr="0032665F">
        <w:rPr>
          <w:i/>
        </w:rPr>
        <w:t>Drug Safety</w:t>
      </w:r>
      <w:r w:rsidRPr="0032665F">
        <w:t>. 2007;30:71-80.)</w:t>
      </w:r>
      <w:r>
        <w:t>”</w:t>
      </w:r>
    </w:p>
    <w:p w14:paraId="0CE1B53B" w14:textId="0AA8F0CC" w:rsidR="00DA7BC7" w:rsidRPr="00A64B0B" w:rsidRDefault="00972925" w:rsidP="00A64B0B">
      <w:pPr>
        <w:pStyle w:val="NoSpacing"/>
        <w:numPr>
          <w:ilvl w:val="1"/>
          <w:numId w:val="2"/>
        </w:numPr>
        <w:rPr>
          <w:i/>
        </w:rPr>
      </w:pPr>
      <w:r w:rsidRPr="00EE0D8A">
        <w:rPr>
          <w:b/>
        </w:rPr>
        <w:t>Source</w:t>
      </w:r>
      <w:r w:rsidRPr="00EE0D8A">
        <w:t xml:space="preserve">:  </w:t>
      </w:r>
      <w:r w:rsidR="00A64B0B" w:rsidRPr="00EE0D8A">
        <w:t xml:space="preserve">Footnote </w:t>
      </w:r>
      <w:r w:rsidR="0032665F">
        <w:t>1</w:t>
      </w:r>
      <w:r w:rsidR="00A64B0B" w:rsidRPr="00EE0D8A">
        <w:t xml:space="preserve"> to</w:t>
      </w:r>
      <w:r w:rsidRPr="00EE0D8A">
        <w:t xml:space="preserve"> </w:t>
      </w:r>
      <w:proofErr w:type="spellStart"/>
      <w:r w:rsidR="0032665F">
        <w:t>KCl</w:t>
      </w:r>
      <w:proofErr w:type="spellEnd"/>
      <w:r w:rsidR="0032665F">
        <w:t xml:space="preserve"> + </w:t>
      </w:r>
      <w:proofErr w:type="spellStart"/>
      <w:r w:rsidR="0032665F">
        <w:t>Potassoim</w:t>
      </w:r>
      <w:proofErr w:type="spellEnd"/>
      <w:r w:rsidR="0032665F">
        <w:t>-Sparing Diuretics</w:t>
      </w:r>
      <w:r w:rsidRPr="00A64B0B">
        <w:t xml:space="preserve"> Decision Table, NIH Project: R21-HS023826-01; Title: Individualized Drug Interaction Alerts; </w:t>
      </w:r>
      <w:r w:rsidR="00A64B0B" w:rsidRPr="00A64B0B">
        <w:t xml:space="preserve">Authors: Daniel C. Malone , University of Arizona; John Horn, Philip </w:t>
      </w:r>
      <w:proofErr w:type="spellStart"/>
      <w:r w:rsidR="00A64B0B" w:rsidRPr="00A64B0B">
        <w:t>Hansten</w:t>
      </w:r>
      <w:proofErr w:type="spellEnd"/>
      <w:r w:rsidR="00A64B0B" w:rsidRPr="00A64B0B">
        <w:t>, University of Washington</w:t>
      </w:r>
    </w:p>
    <w:p w14:paraId="7D3C0579" w14:textId="77777777" w:rsidR="00A64B0B" w:rsidRPr="00A64B0B" w:rsidRDefault="00A64B0B" w:rsidP="00A64B0B">
      <w:pPr>
        <w:rPr>
          <w:i/>
        </w:rPr>
      </w:pPr>
    </w:p>
    <w:p w14:paraId="3EECB546" w14:textId="77777777" w:rsidR="00972925" w:rsidRDefault="00972925" w:rsidP="00F74956"/>
    <w:p w14:paraId="5E400362" w14:textId="35F8E3B1" w:rsidR="00255C96" w:rsidRPr="00132984" w:rsidRDefault="00E07F89" w:rsidP="00132984">
      <w:pPr>
        <w:rPr>
          <w:b/>
        </w:rPr>
      </w:pPr>
      <w:r>
        <w:rPr>
          <w:b/>
        </w:rPr>
        <w:t>Background Information</w:t>
      </w:r>
      <w:r w:rsidR="005920BC" w:rsidRPr="00EA32A9">
        <w:rPr>
          <w:b/>
        </w:rPr>
        <w:t>:</w:t>
      </w:r>
    </w:p>
    <w:p w14:paraId="250D9E55" w14:textId="06726535" w:rsidR="00132984" w:rsidRPr="00C71DD9" w:rsidRDefault="00D07FE4" w:rsidP="00132984">
      <w:pPr>
        <w:pStyle w:val="ListParagraph"/>
        <w:numPr>
          <w:ilvl w:val="0"/>
          <w:numId w:val="8"/>
        </w:numPr>
      </w:pPr>
      <w:r w:rsidRPr="00D07FE4">
        <w:rPr>
          <w:b/>
        </w:rPr>
        <w:t>DINTO</w:t>
      </w:r>
      <w:r>
        <w:t xml:space="preserve">:  </w:t>
      </w:r>
    </w:p>
    <w:p w14:paraId="0F555B2D" w14:textId="77777777" w:rsidR="003A057E" w:rsidRDefault="003A057E" w:rsidP="003A057E">
      <w:pPr>
        <w:pStyle w:val="ListParagraph"/>
        <w:numPr>
          <w:ilvl w:val="1"/>
          <w:numId w:val="8"/>
        </w:numPr>
      </w:pPr>
      <w:r>
        <w:t>In DINTO we include some of these factors as data properties related to:</w:t>
      </w:r>
    </w:p>
    <w:p w14:paraId="58978C5C" w14:textId="77777777" w:rsidR="003A057E" w:rsidRDefault="003A057E" w:rsidP="003A057E">
      <w:pPr>
        <w:pStyle w:val="ListParagraph"/>
        <w:numPr>
          <w:ilvl w:val="2"/>
          <w:numId w:val="8"/>
        </w:numPr>
      </w:pPr>
      <w:r>
        <w:t xml:space="preserve">the DDI -- has documentation level (""established"" , ""possible"" , ""probable"" , ""suspected"" , ""unlikely""), has onset ({""delayed"" , ""rapid""}), </w:t>
      </w:r>
    </w:p>
    <w:p w14:paraId="48F09C68" w14:textId="77777777" w:rsidR="003A057E" w:rsidRDefault="003A057E" w:rsidP="003A057E">
      <w:pPr>
        <w:pStyle w:val="ListParagraph"/>
        <w:numPr>
          <w:ilvl w:val="2"/>
          <w:numId w:val="8"/>
        </w:numPr>
      </w:pPr>
      <w:r>
        <w:t>the study subject – has age, has gender, has race or ethnic</w:t>
      </w:r>
    </w:p>
    <w:p w14:paraId="51AD2CB4" w14:textId="77777777" w:rsidR="003A057E" w:rsidRDefault="003A057E" w:rsidP="003A057E">
      <w:pPr>
        <w:pStyle w:val="ListParagraph"/>
        <w:numPr>
          <w:ilvl w:val="2"/>
          <w:numId w:val="8"/>
        </w:numPr>
      </w:pPr>
      <w:r>
        <w:t>the information source (where the DDI is described) – has subject number</w:t>
      </w:r>
    </w:p>
    <w:p w14:paraId="167FEAF6" w14:textId="0EA39B40" w:rsidR="00D07FE4" w:rsidRPr="00C71DD9" w:rsidRDefault="003A057E" w:rsidP="003A057E">
      <w:pPr>
        <w:pStyle w:val="ListParagraph"/>
        <w:numPr>
          <w:ilvl w:val="2"/>
          <w:numId w:val="8"/>
        </w:numPr>
      </w:pPr>
      <w:proofErr w:type="gramStart"/>
      <w:r>
        <w:t>the</w:t>
      </w:r>
      <w:proofErr w:type="gramEnd"/>
      <w:r>
        <w:t xml:space="preserve"> interacting drugs – has administration route, has concentration, has dose, has pharmaceutical form.</w:t>
      </w:r>
    </w:p>
    <w:p w14:paraId="72FD5B7D" w14:textId="77777777" w:rsidR="00EA32A9" w:rsidRPr="00396F33" w:rsidRDefault="00EA32A9" w:rsidP="00316926"/>
    <w:p w14:paraId="672C55C3" w14:textId="77777777" w:rsidR="000E2492" w:rsidRPr="00502894" w:rsidRDefault="000E2492" w:rsidP="00F74956">
      <w:pPr>
        <w:rPr>
          <w:b/>
          <w:color w:val="44546A" w:themeColor="text2"/>
        </w:rPr>
      </w:pPr>
      <w:r w:rsidRPr="00502894">
        <w:rPr>
          <w:b/>
          <w:color w:val="44546A" w:themeColor="text2"/>
        </w:rPr>
        <w:t>Suggested User-Centered Definition (Google Sheets)</w:t>
      </w:r>
    </w:p>
    <w:p w14:paraId="08570BE7" w14:textId="77777777" w:rsidR="00132984" w:rsidRPr="00132984" w:rsidRDefault="00132984" w:rsidP="00132984">
      <w:pPr>
        <w:pStyle w:val="ListParagraph"/>
        <w:numPr>
          <w:ilvl w:val="0"/>
          <w:numId w:val="2"/>
        </w:numPr>
        <w:rPr>
          <w:b/>
          <w:color w:val="44546A" w:themeColor="text2"/>
        </w:rPr>
      </w:pPr>
      <w:r w:rsidRPr="00132984">
        <w:rPr>
          <w:b/>
          <w:color w:val="44546A" w:themeColor="text2"/>
        </w:rPr>
        <w:t>Contextual information/modifying factors</w:t>
      </w:r>
      <w:r w:rsidRPr="00132984">
        <w:rPr>
          <w:b/>
          <w:color w:val="44546A" w:themeColor="text2"/>
        </w:rPr>
        <w:tab/>
      </w:r>
    </w:p>
    <w:p w14:paraId="08314609" w14:textId="77777777" w:rsidR="00AA2D82" w:rsidRDefault="00132984" w:rsidP="00132984">
      <w:pPr>
        <w:pStyle w:val="ListParagraph"/>
        <w:numPr>
          <w:ilvl w:val="1"/>
          <w:numId w:val="2"/>
        </w:numPr>
        <w:rPr>
          <w:color w:val="44546A" w:themeColor="text2"/>
        </w:rPr>
      </w:pPr>
      <w:r w:rsidRPr="00132984">
        <w:rPr>
          <w:color w:val="44546A" w:themeColor="text2"/>
        </w:rPr>
        <w:t xml:space="preserve">Information or factors that may affect individual patient’s pharmacodynamics, such as age, gender, weight, ethnicity, pharmacogenomics biomarkers, pre-existing conditions, dose (strength) and route of medications,  duration of medication administration etc. Furthermore different pharmacodynamics may affect individual’s clinical consequences and their severity levels. </w:t>
      </w:r>
      <w:r w:rsidRPr="00132984">
        <w:rPr>
          <w:color w:val="44546A" w:themeColor="text2"/>
        </w:rPr>
        <w:tab/>
      </w:r>
    </w:p>
    <w:p w14:paraId="342C358A" w14:textId="2388E5F7" w:rsidR="00272089" w:rsidRDefault="00272089" w:rsidP="00272089">
      <w:pPr>
        <w:pStyle w:val="ListParagraph"/>
        <w:numPr>
          <w:ilvl w:val="2"/>
          <w:numId w:val="2"/>
        </w:numPr>
        <w:rPr>
          <w:color w:val="44546A" w:themeColor="text2"/>
        </w:rPr>
      </w:pPr>
      <w:r w:rsidRPr="00272089">
        <w:rPr>
          <w:color w:val="44546A" w:themeColor="text2"/>
        </w:rPr>
        <w:lastRenderedPageBreak/>
        <w:t xml:space="preserve">There is a category mistake in this definition, please see my </w:t>
      </w:r>
      <w:r w:rsidR="00F02CE6">
        <w:rPr>
          <w:color w:val="44546A" w:themeColor="text2"/>
        </w:rPr>
        <w:t>comment in Column C for details:</w:t>
      </w:r>
    </w:p>
    <w:p w14:paraId="4E9725AD" w14:textId="77777777" w:rsidR="00F02CE6" w:rsidRDefault="00F02CE6" w:rsidP="00F02CE6">
      <w:pPr>
        <w:pStyle w:val="ListParagraph"/>
        <w:numPr>
          <w:ilvl w:val="3"/>
          <w:numId w:val="2"/>
        </w:numPr>
        <w:rPr>
          <w:color w:val="44546A" w:themeColor="text2"/>
        </w:rPr>
      </w:pPr>
      <w:r w:rsidRPr="00132984">
        <w:rPr>
          <w:color w:val="44546A" w:themeColor="text2"/>
        </w:rPr>
        <w:t xml:space="preserve">When available, predisposing risk factors such as age, predisposing diseases, </w:t>
      </w:r>
      <w:proofErr w:type="spellStart"/>
      <w:r w:rsidRPr="00132984">
        <w:rPr>
          <w:color w:val="44546A" w:themeColor="text2"/>
        </w:rPr>
        <w:t>pharmacogenomic</w:t>
      </w:r>
      <w:proofErr w:type="spellEnd"/>
      <w:r w:rsidRPr="00132984">
        <w:rPr>
          <w:color w:val="44546A" w:themeColor="text2"/>
        </w:rPr>
        <w:t xml:space="preserve"> phenotype, and the specific drug regimen(s), such as dose, route, duration of therapy, sequence of initiating co-therapy, a</w:t>
      </w:r>
      <w:r>
        <w:rPr>
          <w:color w:val="44546A" w:themeColor="text2"/>
        </w:rPr>
        <w:t>nd timing of co-administration.</w:t>
      </w:r>
      <w:r w:rsidRPr="00132984">
        <w:rPr>
          <w:color w:val="44546A" w:themeColor="text2"/>
        </w:rPr>
        <w:tab/>
      </w:r>
    </w:p>
    <w:p w14:paraId="0C1CF95D" w14:textId="1AF73597" w:rsidR="00F02CE6" w:rsidRPr="00F02CE6" w:rsidRDefault="00F02CE6" w:rsidP="00F02CE6">
      <w:pPr>
        <w:pStyle w:val="ListParagraph"/>
        <w:numPr>
          <w:ilvl w:val="4"/>
          <w:numId w:val="2"/>
        </w:numPr>
        <w:rPr>
          <w:color w:val="44546A" w:themeColor="text2"/>
        </w:rPr>
      </w:pPr>
      <w:r>
        <w:rPr>
          <w:color w:val="44546A" w:themeColor="text2"/>
        </w:rPr>
        <w:t>T</w:t>
      </w:r>
      <w:r w:rsidRPr="00132984">
        <w:rPr>
          <w:color w:val="44546A" w:themeColor="text2"/>
        </w:rPr>
        <w:t>his probably needs some work, I am not sure that PK and PD is exhaustive here</w:t>
      </w:r>
      <w:r w:rsidRPr="00132984">
        <w:rPr>
          <w:color w:val="44546A" w:themeColor="text2"/>
        </w:rPr>
        <w:tab/>
      </w:r>
    </w:p>
    <w:p w14:paraId="7126E925" w14:textId="67215335" w:rsidR="00272089" w:rsidRDefault="00272089" w:rsidP="00272089">
      <w:pPr>
        <w:pStyle w:val="ListParagraph"/>
        <w:numPr>
          <w:ilvl w:val="2"/>
          <w:numId w:val="2"/>
        </w:numPr>
        <w:rPr>
          <w:color w:val="44546A" w:themeColor="text2"/>
        </w:rPr>
      </w:pPr>
      <w:r w:rsidRPr="00272089">
        <w:rPr>
          <w:color w:val="44546A" w:themeColor="text2"/>
        </w:rPr>
        <w:t>Sounds like a bucket of everything that is a co-variant under the statistical context.</w:t>
      </w:r>
    </w:p>
    <w:p w14:paraId="7725568E" w14:textId="12481288" w:rsidR="00132984" w:rsidRPr="00132984" w:rsidRDefault="00132984" w:rsidP="00132984">
      <w:pPr>
        <w:pStyle w:val="ListParagraph"/>
        <w:numPr>
          <w:ilvl w:val="1"/>
          <w:numId w:val="2"/>
        </w:numPr>
        <w:rPr>
          <w:color w:val="44546A" w:themeColor="text2"/>
        </w:rPr>
      </w:pPr>
      <w:r w:rsidRPr="00132984">
        <w:rPr>
          <w:color w:val="44546A" w:themeColor="text2"/>
        </w:rPr>
        <w:t xml:space="preserve">If known, genetic information, ethnicity, concomitant diseases, etc. that modify the risk of an adverse outcome </w:t>
      </w:r>
      <w:r w:rsidRPr="00132984">
        <w:rPr>
          <w:color w:val="44546A" w:themeColor="text2"/>
        </w:rPr>
        <w:tab/>
      </w:r>
      <w:r w:rsidRPr="00132984">
        <w:rPr>
          <w:color w:val="44546A" w:themeColor="text2"/>
        </w:rPr>
        <w:tab/>
      </w:r>
      <w:r w:rsidRPr="00132984">
        <w:rPr>
          <w:color w:val="44546A" w:themeColor="text2"/>
        </w:rPr>
        <w:tab/>
      </w:r>
    </w:p>
    <w:p w14:paraId="6E76820A" w14:textId="614641D8" w:rsidR="00132984" w:rsidRPr="00132984" w:rsidRDefault="00132984" w:rsidP="00AA2D82">
      <w:pPr>
        <w:pStyle w:val="ListParagraph"/>
        <w:numPr>
          <w:ilvl w:val="2"/>
          <w:numId w:val="2"/>
        </w:numPr>
        <w:rPr>
          <w:color w:val="44546A" w:themeColor="text2"/>
        </w:rPr>
      </w:pPr>
      <w:r w:rsidRPr="00132984">
        <w:rPr>
          <w:color w:val="44546A" w:themeColor="text2"/>
        </w:rPr>
        <w:t>Patient's  gender, weight, pre-existing conditions</w:t>
      </w:r>
      <w:r w:rsidRPr="00132984">
        <w:rPr>
          <w:color w:val="44546A" w:themeColor="text2"/>
        </w:rPr>
        <w:tab/>
      </w:r>
      <w:r w:rsidRPr="00132984">
        <w:rPr>
          <w:color w:val="44546A" w:themeColor="text2"/>
        </w:rPr>
        <w:tab/>
      </w:r>
      <w:r w:rsidRPr="00132984">
        <w:rPr>
          <w:color w:val="44546A" w:themeColor="text2"/>
        </w:rPr>
        <w:tab/>
      </w:r>
    </w:p>
    <w:p w14:paraId="5367AE98" w14:textId="70FB86D7" w:rsidR="00132984" w:rsidRPr="00132984" w:rsidRDefault="00132984" w:rsidP="00AA2D82">
      <w:pPr>
        <w:pStyle w:val="ListParagraph"/>
        <w:numPr>
          <w:ilvl w:val="2"/>
          <w:numId w:val="2"/>
        </w:numPr>
        <w:rPr>
          <w:color w:val="44546A" w:themeColor="text2"/>
        </w:rPr>
      </w:pPr>
      <w:r w:rsidRPr="00132984">
        <w:rPr>
          <w:color w:val="44546A" w:themeColor="text2"/>
        </w:rPr>
        <w:t>Should we produce a comprehensive list of all applicable modifying factors relating to DDI's?</w:t>
      </w:r>
    </w:p>
    <w:p w14:paraId="1DE3482C" w14:textId="6C9C1B08" w:rsidR="00132984" w:rsidRPr="00132984" w:rsidRDefault="00132984" w:rsidP="00AA2D82">
      <w:pPr>
        <w:pStyle w:val="ListParagraph"/>
        <w:numPr>
          <w:ilvl w:val="3"/>
          <w:numId w:val="2"/>
        </w:numPr>
        <w:rPr>
          <w:color w:val="44546A" w:themeColor="text2"/>
        </w:rPr>
      </w:pPr>
      <w:r w:rsidRPr="00132984">
        <w:rPr>
          <w:color w:val="44546A" w:themeColor="text2"/>
        </w:rPr>
        <w:t>"Should include CYP inducers, inhibitors</w:t>
      </w:r>
    </w:p>
    <w:p w14:paraId="33547842" w14:textId="4B63AA3D" w:rsidR="00132984" w:rsidRPr="00132984" w:rsidRDefault="00132984" w:rsidP="00AA2D82">
      <w:pPr>
        <w:pStyle w:val="ListParagraph"/>
        <w:numPr>
          <w:ilvl w:val="3"/>
          <w:numId w:val="2"/>
        </w:numPr>
        <w:rPr>
          <w:color w:val="44546A" w:themeColor="text2"/>
        </w:rPr>
      </w:pPr>
      <w:r w:rsidRPr="00132984">
        <w:rPr>
          <w:color w:val="44546A" w:themeColor="text2"/>
        </w:rPr>
        <w:t xml:space="preserve">Yes, as </w:t>
      </w:r>
      <w:proofErr w:type="spellStart"/>
      <w:r w:rsidRPr="00132984">
        <w:rPr>
          <w:color w:val="44546A" w:themeColor="text2"/>
        </w:rPr>
        <w:t>pharmacogenomic</w:t>
      </w:r>
      <w:proofErr w:type="spellEnd"/>
      <w:r w:rsidRPr="00132984">
        <w:rPr>
          <w:color w:val="44546A" w:themeColor="text2"/>
        </w:rPr>
        <w:t xml:space="preserve"> factors. Have a look to this ex</w:t>
      </w:r>
      <w:r w:rsidR="00AA2D82">
        <w:rPr>
          <w:color w:val="44546A" w:themeColor="text2"/>
        </w:rPr>
        <w:t>c</w:t>
      </w:r>
      <w:r w:rsidRPr="00132984">
        <w:rPr>
          <w:color w:val="44546A" w:themeColor="text2"/>
        </w:rPr>
        <w:t>er</w:t>
      </w:r>
      <w:r w:rsidR="00AA2D82">
        <w:rPr>
          <w:color w:val="44546A" w:themeColor="text2"/>
        </w:rPr>
        <w:t>p</w:t>
      </w:r>
      <w:r w:rsidRPr="00132984">
        <w:rPr>
          <w:color w:val="44546A" w:themeColor="text2"/>
        </w:rPr>
        <w:t xml:space="preserve">t from </w:t>
      </w:r>
      <w:proofErr w:type="spellStart"/>
      <w:r w:rsidRPr="00132984">
        <w:rPr>
          <w:color w:val="44546A" w:themeColor="text2"/>
        </w:rPr>
        <w:t>PharmGKB</w:t>
      </w:r>
      <w:proofErr w:type="spellEnd"/>
      <w:r w:rsidRPr="00132984">
        <w:rPr>
          <w:color w:val="44546A" w:themeColor="text2"/>
        </w:rPr>
        <w:t>:</w:t>
      </w:r>
    </w:p>
    <w:p w14:paraId="4A963F43" w14:textId="77777777" w:rsidR="00132984" w:rsidRPr="00132984" w:rsidRDefault="00132984" w:rsidP="00AA2D82">
      <w:pPr>
        <w:pStyle w:val="ListParagraph"/>
        <w:numPr>
          <w:ilvl w:val="4"/>
          <w:numId w:val="2"/>
        </w:numPr>
        <w:rPr>
          <w:color w:val="44546A" w:themeColor="text2"/>
        </w:rPr>
      </w:pPr>
      <w:r w:rsidRPr="00132984">
        <w:rPr>
          <w:color w:val="44546A" w:themeColor="text2"/>
        </w:rPr>
        <w:t xml:space="preserve">2. EMA Label for </w:t>
      </w:r>
      <w:proofErr w:type="spellStart"/>
      <w:r w:rsidRPr="00132984">
        <w:rPr>
          <w:color w:val="44546A" w:themeColor="text2"/>
        </w:rPr>
        <w:t>efavirenz</w:t>
      </w:r>
      <w:proofErr w:type="gramStart"/>
      <w:r w:rsidRPr="00132984">
        <w:rPr>
          <w:color w:val="44546A" w:themeColor="text2"/>
        </w:rPr>
        <w:t>,emtricitabine,tenofovir</w:t>
      </w:r>
      <w:proofErr w:type="spellEnd"/>
      <w:proofErr w:type="gramEnd"/>
      <w:r w:rsidRPr="00132984">
        <w:rPr>
          <w:color w:val="44546A" w:themeColor="text2"/>
        </w:rPr>
        <w:t xml:space="preserve"> and CYP2B6: The EMA European Public Assessment Report (EPAR) for </w:t>
      </w:r>
      <w:proofErr w:type="spellStart"/>
      <w:r w:rsidRPr="00132984">
        <w:rPr>
          <w:color w:val="44546A" w:themeColor="text2"/>
        </w:rPr>
        <w:t>efavirenz</w:t>
      </w:r>
      <w:proofErr w:type="spellEnd"/>
      <w:r w:rsidRPr="00132984">
        <w:rPr>
          <w:color w:val="44546A" w:themeColor="text2"/>
        </w:rPr>
        <w:t xml:space="preserve">, </w:t>
      </w:r>
      <w:proofErr w:type="spellStart"/>
      <w:r w:rsidRPr="00132984">
        <w:rPr>
          <w:color w:val="44546A" w:themeColor="text2"/>
        </w:rPr>
        <w:t>emtricitabine</w:t>
      </w:r>
      <w:proofErr w:type="spellEnd"/>
      <w:r w:rsidRPr="00132984">
        <w:rPr>
          <w:color w:val="44546A" w:themeColor="text2"/>
        </w:rPr>
        <w:t xml:space="preserve"> and tenofovir </w:t>
      </w:r>
      <w:proofErr w:type="spellStart"/>
      <w:r w:rsidRPr="00132984">
        <w:rPr>
          <w:color w:val="44546A" w:themeColor="text2"/>
        </w:rPr>
        <w:t>disoproxil</w:t>
      </w:r>
      <w:proofErr w:type="spellEnd"/>
      <w:r w:rsidRPr="00132984">
        <w:rPr>
          <w:color w:val="44546A" w:themeColor="text2"/>
        </w:rPr>
        <w:t xml:space="preserve"> (</w:t>
      </w:r>
      <w:proofErr w:type="spellStart"/>
      <w:r w:rsidRPr="00132984">
        <w:rPr>
          <w:color w:val="44546A" w:themeColor="text2"/>
        </w:rPr>
        <w:t>Atripla</w:t>
      </w:r>
      <w:proofErr w:type="spellEnd"/>
      <w:r w:rsidRPr="00132984">
        <w:rPr>
          <w:color w:val="44546A" w:themeColor="text2"/>
        </w:rPr>
        <w:t xml:space="preserve">) contains </w:t>
      </w:r>
      <w:proofErr w:type="spellStart"/>
      <w:r w:rsidRPr="00132984">
        <w:rPr>
          <w:color w:val="44546A" w:themeColor="text2"/>
        </w:rPr>
        <w:t>pharmacogenetic</w:t>
      </w:r>
      <w:proofErr w:type="spellEnd"/>
      <w:r w:rsidRPr="00132984">
        <w:rPr>
          <w:color w:val="44546A" w:themeColor="text2"/>
        </w:rPr>
        <w:t xml:space="preserve"> information related to possible increased exposure to </w:t>
      </w:r>
      <w:proofErr w:type="spellStart"/>
      <w:r w:rsidRPr="00132984">
        <w:rPr>
          <w:color w:val="44546A" w:themeColor="text2"/>
        </w:rPr>
        <w:t>efavirenz</w:t>
      </w:r>
      <w:proofErr w:type="spellEnd"/>
      <w:r w:rsidRPr="00132984">
        <w:rPr>
          <w:color w:val="44546A" w:themeColor="text2"/>
        </w:rPr>
        <w:t xml:space="preserve"> in patients homozygous for the CYP2B6 G516T variant (rs3745274 genotype TT), and though the clinical implications of this are unknown, the potential for an increased frequency and severity of adverse events cannot be excluded.</w:t>
      </w:r>
    </w:p>
    <w:p w14:paraId="565DB9E1" w14:textId="77777777" w:rsidR="00132984" w:rsidRPr="00132984" w:rsidRDefault="00132984" w:rsidP="00AA2D82">
      <w:pPr>
        <w:pStyle w:val="ListParagraph"/>
        <w:numPr>
          <w:ilvl w:val="3"/>
          <w:numId w:val="2"/>
        </w:numPr>
        <w:rPr>
          <w:color w:val="44546A" w:themeColor="text2"/>
        </w:rPr>
      </w:pPr>
      <w:r w:rsidRPr="00132984">
        <w:rPr>
          <w:color w:val="44546A" w:themeColor="text2"/>
        </w:rPr>
        <w:t xml:space="preserve">This means that if these patients are also exposed to a possible DDI between </w:t>
      </w:r>
      <w:proofErr w:type="spellStart"/>
      <w:r w:rsidRPr="00132984">
        <w:rPr>
          <w:color w:val="44546A" w:themeColor="text2"/>
        </w:rPr>
        <w:t>efavirenz</w:t>
      </w:r>
      <w:proofErr w:type="spellEnd"/>
      <w:r w:rsidRPr="00132984">
        <w:rPr>
          <w:color w:val="44546A" w:themeColor="text2"/>
        </w:rPr>
        <w:t xml:space="preserve"> and another drug that might increase the levels of this drug in the </w:t>
      </w:r>
      <w:proofErr w:type="gramStart"/>
      <w:r w:rsidRPr="00132984">
        <w:rPr>
          <w:color w:val="44546A" w:themeColor="text2"/>
        </w:rPr>
        <w:t>organism,</w:t>
      </w:r>
      <w:proofErr w:type="gramEnd"/>
      <w:r w:rsidRPr="00132984">
        <w:rPr>
          <w:color w:val="44546A" w:themeColor="text2"/>
        </w:rPr>
        <w:t xml:space="preserve"> could experience more severe consequences that other individuals.</w:t>
      </w:r>
    </w:p>
    <w:p w14:paraId="018E0F35" w14:textId="77777777" w:rsidR="00AA2D82" w:rsidRDefault="00132984" w:rsidP="00132984">
      <w:pPr>
        <w:pStyle w:val="ListParagraph"/>
        <w:numPr>
          <w:ilvl w:val="1"/>
          <w:numId w:val="2"/>
        </w:numPr>
        <w:rPr>
          <w:color w:val="44546A" w:themeColor="text2"/>
        </w:rPr>
      </w:pPr>
      <w:r w:rsidRPr="00132984">
        <w:rPr>
          <w:color w:val="44546A" w:themeColor="text2"/>
        </w:rPr>
        <w:t xml:space="preserve">I think we need to clarify what we are talking about here. Information and factors are two fairly different types of things. From the definition it is fairly obvious that we are not talking about information in the first place. Information about my age will not affect the pharmacodynamics of a drug administered to me. My age might. So, I think we are talking about information about modifying factors here. </w:t>
      </w:r>
    </w:p>
    <w:p w14:paraId="711A46B8" w14:textId="4AB48897" w:rsidR="00132984" w:rsidRPr="00132984" w:rsidRDefault="00132984" w:rsidP="00132984">
      <w:pPr>
        <w:pStyle w:val="ListParagraph"/>
        <w:numPr>
          <w:ilvl w:val="1"/>
          <w:numId w:val="2"/>
        </w:numPr>
        <w:rPr>
          <w:color w:val="44546A" w:themeColor="text2"/>
        </w:rPr>
      </w:pPr>
      <w:r w:rsidRPr="00132984">
        <w:rPr>
          <w:color w:val="44546A" w:themeColor="text2"/>
        </w:rPr>
        <w:t>In DINTO we include some of these factors as data properties related to:</w:t>
      </w:r>
    </w:p>
    <w:p w14:paraId="181804DF" w14:textId="77777777" w:rsidR="00132984" w:rsidRPr="00132984" w:rsidRDefault="00132984" w:rsidP="00AA2D82">
      <w:pPr>
        <w:pStyle w:val="ListParagraph"/>
        <w:numPr>
          <w:ilvl w:val="2"/>
          <w:numId w:val="2"/>
        </w:numPr>
        <w:rPr>
          <w:color w:val="44546A" w:themeColor="text2"/>
        </w:rPr>
      </w:pPr>
      <w:r w:rsidRPr="00132984">
        <w:rPr>
          <w:color w:val="44546A" w:themeColor="text2"/>
        </w:rPr>
        <w:t xml:space="preserve">the DDI -- has documentation level (""established"" , ""possible"" , ""probable"" , ""suspected"" , ""unlikely""), has onset ({""delayed"" , ""rapid""}), </w:t>
      </w:r>
    </w:p>
    <w:p w14:paraId="6C7F946F" w14:textId="77777777" w:rsidR="00132984" w:rsidRPr="00132984" w:rsidRDefault="00132984" w:rsidP="00AA2D82">
      <w:pPr>
        <w:pStyle w:val="ListParagraph"/>
        <w:numPr>
          <w:ilvl w:val="2"/>
          <w:numId w:val="2"/>
        </w:numPr>
        <w:rPr>
          <w:color w:val="44546A" w:themeColor="text2"/>
        </w:rPr>
      </w:pPr>
      <w:r w:rsidRPr="00132984">
        <w:rPr>
          <w:color w:val="44546A" w:themeColor="text2"/>
        </w:rPr>
        <w:t>the study subject – has age, has gender, has race or ethnic</w:t>
      </w:r>
    </w:p>
    <w:p w14:paraId="756E53B7" w14:textId="77777777" w:rsidR="00132984" w:rsidRPr="00132984" w:rsidRDefault="00132984" w:rsidP="00AA2D82">
      <w:pPr>
        <w:pStyle w:val="ListParagraph"/>
        <w:numPr>
          <w:ilvl w:val="2"/>
          <w:numId w:val="2"/>
        </w:numPr>
        <w:rPr>
          <w:color w:val="44546A" w:themeColor="text2"/>
        </w:rPr>
      </w:pPr>
      <w:r w:rsidRPr="00132984">
        <w:rPr>
          <w:color w:val="44546A" w:themeColor="text2"/>
        </w:rPr>
        <w:t>the information source (where the DDI is described) – has subject number</w:t>
      </w:r>
    </w:p>
    <w:p w14:paraId="248E9B2D" w14:textId="77777777" w:rsidR="00132984" w:rsidRPr="00132984" w:rsidRDefault="00132984" w:rsidP="00AA2D82">
      <w:pPr>
        <w:pStyle w:val="ListParagraph"/>
        <w:numPr>
          <w:ilvl w:val="2"/>
          <w:numId w:val="2"/>
        </w:numPr>
        <w:rPr>
          <w:color w:val="44546A" w:themeColor="text2"/>
        </w:rPr>
      </w:pPr>
      <w:proofErr w:type="gramStart"/>
      <w:r w:rsidRPr="00132984">
        <w:rPr>
          <w:color w:val="44546A" w:themeColor="text2"/>
        </w:rPr>
        <w:t>the</w:t>
      </w:r>
      <w:proofErr w:type="gramEnd"/>
      <w:r w:rsidRPr="00132984">
        <w:rPr>
          <w:color w:val="44546A" w:themeColor="text2"/>
        </w:rPr>
        <w:t xml:space="preserve"> interacting drugs – has administration route, has concentration, has dose, has pharmaceutical form.</w:t>
      </w:r>
    </w:p>
    <w:p w14:paraId="0EF34C8A" w14:textId="35933B6B" w:rsidR="00794B80" w:rsidRPr="00AB44B7" w:rsidRDefault="00132984" w:rsidP="00132984">
      <w:pPr>
        <w:pStyle w:val="ListParagraph"/>
        <w:numPr>
          <w:ilvl w:val="1"/>
          <w:numId w:val="2"/>
        </w:numPr>
        <w:rPr>
          <w:b/>
          <w:color w:val="44546A" w:themeColor="text2"/>
        </w:rPr>
      </w:pPr>
      <w:r w:rsidRPr="00AA2D82">
        <w:rPr>
          <w:color w:val="44546A" w:themeColor="text2"/>
        </w:rPr>
        <w:t xml:space="preserve">My understanding of context information includes all the information that can be used to individualize/customize medication information about a particular patient. Such as current weight information can be used to calculate dosage; a particular biomarker can be used to </w:t>
      </w:r>
      <w:proofErr w:type="spellStart"/>
      <w:r w:rsidRPr="00AA2D82">
        <w:rPr>
          <w:color w:val="44546A" w:themeColor="text2"/>
        </w:rPr>
        <w:t>selecet</w:t>
      </w:r>
      <w:proofErr w:type="spellEnd"/>
      <w:r w:rsidRPr="00AA2D82">
        <w:rPr>
          <w:color w:val="44546A" w:themeColor="text2"/>
        </w:rPr>
        <w:t>/exclude medications. How much of such information is available right now is another issue, at least we may need to list all the possible categories, such as age, gender, weight, genetic biomarker, liver and renal functions.</w:t>
      </w:r>
    </w:p>
    <w:p w14:paraId="345F616F" w14:textId="3B2D6EE6" w:rsidR="00AB44B7" w:rsidRPr="00AB44B7" w:rsidRDefault="00AB44B7" w:rsidP="00AB44B7">
      <w:pPr>
        <w:pStyle w:val="ListParagraph"/>
        <w:numPr>
          <w:ilvl w:val="0"/>
          <w:numId w:val="2"/>
        </w:numPr>
        <w:rPr>
          <w:b/>
          <w:color w:val="44546A" w:themeColor="text2"/>
        </w:rPr>
      </w:pPr>
      <w:r w:rsidRPr="00AB44B7">
        <w:rPr>
          <w:b/>
          <w:color w:val="44546A" w:themeColor="text2"/>
        </w:rPr>
        <w:t>Genus differentia</w:t>
      </w:r>
    </w:p>
    <w:p w14:paraId="4A29A861" w14:textId="2F43684D" w:rsidR="00AB44B7" w:rsidRPr="00AB44B7" w:rsidRDefault="00AB44B7" w:rsidP="00AB44B7">
      <w:pPr>
        <w:pStyle w:val="ListParagraph"/>
        <w:numPr>
          <w:ilvl w:val="1"/>
          <w:numId w:val="2"/>
        </w:numPr>
        <w:rPr>
          <w:color w:val="44546A" w:themeColor="text2"/>
        </w:rPr>
      </w:pPr>
      <w:r w:rsidRPr="00132984">
        <w:rPr>
          <w:color w:val="44546A" w:themeColor="text2"/>
        </w:rPr>
        <w:t xml:space="preserve">An information (content) entity that is about factors known to </w:t>
      </w:r>
      <w:proofErr w:type="gramStart"/>
      <w:r w:rsidRPr="00132984">
        <w:rPr>
          <w:color w:val="44546A" w:themeColor="text2"/>
        </w:rPr>
        <w:t>effect</w:t>
      </w:r>
      <w:proofErr w:type="gramEnd"/>
      <w:r w:rsidRPr="00132984">
        <w:rPr>
          <w:color w:val="44546A" w:themeColor="text2"/>
        </w:rPr>
        <w:t xml:space="preserve"> the pharmacodynamic</w:t>
      </w:r>
      <w:r>
        <w:rPr>
          <w:color w:val="44546A" w:themeColor="text2"/>
        </w:rPr>
        <w:t>s</w:t>
      </w:r>
      <w:r w:rsidRPr="00132984">
        <w:rPr>
          <w:color w:val="44546A" w:themeColor="text2"/>
        </w:rPr>
        <w:t xml:space="preserve"> and pharmacokinetic</w:t>
      </w:r>
      <w:r>
        <w:rPr>
          <w:color w:val="44546A" w:themeColor="text2"/>
        </w:rPr>
        <w:t>s</w:t>
      </w:r>
      <w:r w:rsidRPr="00132984">
        <w:rPr>
          <w:color w:val="44546A" w:themeColor="text2"/>
        </w:rPr>
        <w:t xml:space="preserve"> of a drug. </w:t>
      </w:r>
    </w:p>
    <w:sectPr w:rsidR="00AB44B7" w:rsidRPr="00AB44B7" w:rsidSect="000E2492">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D9A69" w14:textId="77777777" w:rsidR="00BA022A" w:rsidRDefault="00BA022A" w:rsidP="00396F33">
      <w:r>
        <w:separator/>
      </w:r>
    </w:p>
  </w:endnote>
  <w:endnote w:type="continuationSeparator" w:id="0">
    <w:p w14:paraId="3E5874C4" w14:textId="77777777" w:rsidR="00BA022A" w:rsidRDefault="00BA022A" w:rsidP="0039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293557"/>
      <w:docPartObj>
        <w:docPartGallery w:val="Page Numbers (Bottom of Page)"/>
        <w:docPartUnique/>
      </w:docPartObj>
    </w:sdtPr>
    <w:sdtEndPr>
      <w:rPr>
        <w:noProof/>
      </w:rPr>
    </w:sdtEndPr>
    <w:sdtContent>
      <w:p w14:paraId="6861A344" w14:textId="0591BC72" w:rsidR="00396F33" w:rsidRDefault="00396F33">
        <w:pPr>
          <w:pStyle w:val="Footer"/>
          <w:jc w:val="right"/>
        </w:pPr>
        <w:r>
          <w:fldChar w:fldCharType="begin"/>
        </w:r>
        <w:r>
          <w:instrText xml:space="preserve"> PAGE   \* MERGEFORMAT </w:instrText>
        </w:r>
        <w:r>
          <w:fldChar w:fldCharType="separate"/>
        </w:r>
        <w:r w:rsidR="00F576A5">
          <w:rPr>
            <w:noProof/>
          </w:rPr>
          <w:t>1</w:t>
        </w:r>
        <w:r>
          <w:rPr>
            <w:noProof/>
          </w:rPr>
          <w:fldChar w:fldCharType="end"/>
        </w:r>
      </w:p>
    </w:sdtContent>
  </w:sdt>
  <w:p w14:paraId="6DA8E8DB" w14:textId="77777777" w:rsidR="00396F33" w:rsidRDefault="00396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A055E" w14:textId="77777777" w:rsidR="00BA022A" w:rsidRDefault="00BA022A" w:rsidP="00396F33">
      <w:r>
        <w:separator/>
      </w:r>
    </w:p>
  </w:footnote>
  <w:footnote w:type="continuationSeparator" w:id="0">
    <w:p w14:paraId="17CC0388" w14:textId="77777777" w:rsidR="00BA022A" w:rsidRDefault="00BA022A" w:rsidP="00396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138E"/>
    <w:multiLevelType w:val="hybridMultilevel"/>
    <w:tmpl w:val="49EA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C758D"/>
    <w:multiLevelType w:val="hybridMultilevel"/>
    <w:tmpl w:val="E144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932F7"/>
    <w:multiLevelType w:val="hybridMultilevel"/>
    <w:tmpl w:val="C340E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DF7217"/>
    <w:multiLevelType w:val="hybridMultilevel"/>
    <w:tmpl w:val="713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02406"/>
    <w:multiLevelType w:val="hybridMultilevel"/>
    <w:tmpl w:val="7F1E104E"/>
    <w:lvl w:ilvl="0" w:tplc="BC8CE9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F7C9E"/>
    <w:multiLevelType w:val="hybridMultilevel"/>
    <w:tmpl w:val="6A0A5A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BC5C5E"/>
    <w:multiLevelType w:val="hybridMultilevel"/>
    <w:tmpl w:val="8E5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03C21"/>
    <w:multiLevelType w:val="hybridMultilevel"/>
    <w:tmpl w:val="0D6C3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6"/>
    <w:rsid w:val="00015A7E"/>
    <w:rsid w:val="00017550"/>
    <w:rsid w:val="0007598B"/>
    <w:rsid w:val="000E2492"/>
    <w:rsid w:val="00104959"/>
    <w:rsid w:val="00132984"/>
    <w:rsid w:val="00150B4A"/>
    <w:rsid w:val="001E7EF5"/>
    <w:rsid w:val="00255C96"/>
    <w:rsid w:val="00272089"/>
    <w:rsid w:val="002A61EB"/>
    <w:rsid w:val="002C0100"/>
    <w:rsid w:val="002C4965"/>
    <w:rsid w:val="0030225A"/>
    <w:rsid w:val="00316926"/>
    <w:rsid w:val="0032665F"/>
    <w:rsid w:val="00396F33"/>
    <w:rsid w:val="003A057E"/>
    <w:rsid w:val="003D3B98"/>
    <w:rsid w:val="004362DF"/>
    <w:rsid w:val="0044191A"/>
    <w:rsid w:val="004447FD"/>
    <w:rsid w:val="004561D0"/>
    <w:rsid w:val="00472062"/>
    <w:rsid w:val="00502894"/>
    <w:rsid w:val="005041E9"/>
    <w:rsid w:val="00521264"/>
    <w:rsid w:val="0052152D"/>
    <w:rsid w:val="0055082C"/>
    <w:rsid w:val="00563864"/>
    <w:rsid w:val="005920BC"/>
    <w:rsid w:val="005B463A"/>
    <w:rsid w:val="00646543"/>
    <w:rsid w:val="0066637A"/>
    <w:rsid w:val="00697D79"/>
    <w:rsid w:val="006B0168"/>
    <w:rsid w:val="006B30E0"/>
    <w:rsid w:val="006C5353"/>
    <w:rsid w:val="006C67CF"/>
    <w:rsid w:val="006C6AF6"/>
    <w:rsid w:val="006D42E5"/>
    <w:rsid w:val="006E0D46"/>
    <w:rsid w:val="0073454C"/>
    <w:rsid w:val="00781F12"/>
    <w:rsid w:val="00794B80"/>
    <w:rsid w:val="007C3D53"/>
    <w:rsid w:val="00830418"/>
    <w:rsid w:val="008315AA"/>
    <w:rsid w:val="00842515"/>
    <w:rsid w:val="008B1B86"/>
    <w:rsid w:val="008B68B2"/>
    <w:rsid w:val="008D3E1B"/>
    <w:rsid w:val="008D499E"/>
    <w:rsid w:val="00972925"/>
    <w:rsid w:val="00972B80"/>
    <w:rsid w:val="00986B34"/>
    <w:rsid w:val="009B4D36"/>
    <w:rsid w:val="009E17FB"/>
    <w:rsid w:val="00A20EF6"/>
    <w:rsid w:val="00A36610"/>
    <w:rsid w:val="00A5045A"/>
    <w:rsid w:val="00A52CF2"/>
    <w:rsid w:val="00A64B0B"/>
    <w:rsid w:val="00A94DD4"/>
    <w:rsid w:val="00AA2D82"/>
    <w:rsid w:val="00AB44B7"/>
    <w:rsid w:val="00AB7E67"/>
    <w:rsid w:val="00B24A3C"/>
    <w:rsid w:val="00BA022A"/>
    <w:rsid w:val="00BD2EF9"/>
    <w:rsid w:val="00BE1B36"/>
    <w:rsid w:val="00C20DCA"/>
    <w:rsid w:val="00C71DD9"/>
    <w:rsid w:val="00CB2CC9"/>
    <w:rsid w:val="00CC0BBB"/>
    <w:rsid w:val="00CE4B62"/>
    <w:rsid w:val="00D07FE4"/>
    <w:rsid w:val="00D25FE0"/>
    <w:rsid w:val="00D30C3F"/>
    <w:rsid w:val="00D36ED1"/>
    <w:rsid w:val="00D7446C"/>
    <w:rsid w:val="00D95CA5"/>
    <w:rsid w:val="00DA0F26"/>
    <w:rsid w:val="00DA7BC7"/>
    <w:rsid w:val="00DD5D66"/>
    <w:rsid w:val="00DD5F49"/>
    <w:rsid w:val="00DE728A"/>
    <w:rsid w:val="00DF605E"/>
    <w:rsid w:val="00DF70D2"/>
    <w:rsid w:val="00E00C4E"/>
    <w:rsid w:val="00E07F89"/>
    <w:rsid w:val="00E42AE3"/>
    <w:rsid w:val="00E62A11"/>
    <w:rsid w:val="00E92FF7"/>
    <w:rsid w:val="00E935FA"/>
    <w:rsid w:val="00EA32A9"/>
    <w:rsid w:val="00EE0D8A"/>
    <w:rsid w:val="00F0007D"/>
    <w:rsid w:val="00F02CE6"/>
    <w:rsid w:val="00F47E63"/>
    <w:rsid w:val="00F576A5"/>
    <w:rsid w:val="00F74956"/>
    <w:rsid w:val="00FF3A64"/>
    <w:rsid w:val="00FF5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5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NoSpacing">
    <w:name w:val="No Spacing"/>
    <w:uiPriority w:val="1"/>
    <w:qFormat/>
    <w:rsid w:val="00A64B0B"/>
  </w:style>
  <w:style w:type="paragraph" w:styleId="Revision">
    <w:name w:val="Revision"/>
    <w:hidden/>
    <w:uiPriority w:val="99"/>
    <w:semiHidden/>
    <w:rsid w:val="008D49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NoSpacing">
    <w:name w:val="No Spacing"/>
    <w:uiPriority w:val="1"/>
    <w:qFormat/>
    <w:rsid w:val="00A64B0B"/>
  </w:style>
  <w:style w:type="paragraph" w:styleId="Revision">
    <w:name w:val="Revision"/>
    <w:hidden/>
    <w:uiPriority w:val="99"/>
    <w:semiHidden/>
    <w:rsid w:val="008D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10390">
      <w:bodyDiv w:val="1"/>
      <w:marLeft w:val="0"/>
      <w:marRight w:val="0"/>
      <w:marTop w:val="0"/>
      <w:marBottom w:val="0"/>
      <w:divBdr>
        <w:top w:val="none" w:sz="0" w:space="0" w:color="auto"/>
        <w:left w:val="none" w:sz="0" w:space="0" w:color="auto"/>
        <w:bottom w:val="none" w:sz="0" w:space="0" w:color="auto"/>
        <w:right w:val="none" w:sz="0" w:space="0" w:color="auto"/>
      </w:divBdr>
      <w:divsChild>
        <w:div w:id="223490115">
          <w:marLeft w:val="600"/>
          <w:marRight w:val="0"/>
          <w:marTop w:val="0"/>
          <w:marBottom w:val="0"/>
          <w:divBdr>
            <w:top w:val="none" w:sz="0" w:space="0" w:color="auto"/>
            <w:left w:val="none" w:sz="0" w:space="0" w:color="auto"/>
            <w:bottom w:val="none" w:sz="0" w:space="0" w:color="auto"/>
            <w:right w:val="none" w:sz="0" w:space="0" w:color="auto"/>
          </w:divBdr>
          <w:divsChild>
            <w:div w:id="867185987">
              <w:marLeft w:val="0"/>
              <w:marRight w:val="0"/>
              <w:marTop w:val="0"/>
              <w:marBottom w:val="0"/>
              <w:divBdr>
                <w:top w:val="none" w:sz="0" w:space="0" w:color="auto"/>
                <w:left w:val="none" w:sz="0" w:space="0" w:color="auto"/>
                <w:bottom w:val="none" w:sz="0" w:space="0" w:color="auto"/>
                <w:right w:val="none" w:sz="0" w:space="0" w:color="auto"/>
              </w:divBdr>
            </w:div>
            <w:div w:id="1470898775">
              <w:marLeft w:val="0"/>
              <w:marRight w:val="0"/>
              <w:marTop w:val="0"/>
              <w:marBottom w:val="0"/>
              <w:divBdr>
                <w:top w:val="none" w:sz="0" w:space="0" w:color="auto"/>
                <w:left w:val="none" w:sz="0" w:space="0" w:color="auto"/>
                <w:bottom w:val="none" w:sz="0" w:space="0" w:color="auto"/>
                <w:right w:val="none" w:sz="0" w:space="0" w:color="auto"/>
              </w:divBdr>
            </w:div>
            <w:div w:id="1939756176">
              <w:marLeft w:val="0"/>
              <w:marRight w:val="0"/>
              <w:marTop w:val="0"/>
              <w:marBottom w:val="0"/>
              <w:divBdr>
                <w:top w:val="none" w:sz="0" w:space="0" w:color="auto"/>
                <w:left w:val="none" w:sz="0" w:space="0" w:color="auto"/>
                <w:bottom w:val="none" w:sz="0" w:space="0" w:color="auto"/>
                <w:right w:val="none" w:sz="0" w:space="0" w:color="auto"/>
              </w:divBdr>
            </w:div>
            <w:div w:id="968630141">
              <w:marLeft w:val="0"/>
              <w:marRight w:val="0"/>
              <w:marTop w:val="0"/>
              <w:marBottom w:val="0"/>
              <w:divBdr>
                <w:top w:val="none" w:sz="0" w:space="0" w:color="auto"/>
                <w:left w:val="none" w:sz="0" w:space="0" w:color="auto"/>
                <w:bottom w:val="none" w:sz="0" w:space="0" w:color="auto"/>
                <w:right w:val="none" w:sz="0" w:space="0" w:color="auto"/>
              </w:divBdr>
            </w:div>
          </w:divsChild>
        </w:div>
        <w:div w:id="151335697">
          <w:marLeft w:val="600"/>
          <w:marRight w:val="0"/>
          <w:marTop w:val="0"/>
          <w:marBottom w:val="0"/>
          <w:divBdr>
            <w:top w:val="none" w:sz="0" w:space="0" w:color="auto"/>
            <w:left w:val="none" w:sz="0" w:space="0" w:color="auto"/>
            <w:bottom w:val="none" w:sz="0" w:space="0" w:color="auto"/>
            <w:right w:val="none" w:sz="0" w:space="0" w:color="auto"/>
          </w:divBdr>
        </w:div>
        <w:div w:id="921138899">
          <w:marLeft w:val="0"/>
          <w:marRight w:val="0"/>
          <w:marTop w:val="0"/>
          <w:marBottom w:val="0"/>
          <w:divBdr>
            <w:top w:val="none" w:sz="0" w:space="0" w:color="auto"/>
            <w:left w:val="none" w:sz="0" w:space="0" w:color="auto"/>
            <w:bottom w:val="none" w:sz="0" w:space="0" w:color="auto"/>
            <w:right w:val="none" w:sz="0" w:space="0" w:color="auto"/>
          </w:divBdr>
        </w:div>
        <w:div w:id="876501836">
          <w:marLeft w:val="0"/>
          <w:marRight w:val="0"/>
          <w:marTop w:val="0"/>
          <w:marBottom w:val="0"/>
          <w:divBdr>
            <w:top w:val="none" w:sz="0" w:space="0" w:color="auto"/>
            <w:left w:val="none" w:sz="0" w:space="0" w:color="auto"/>
            <w:bottom w:val="none" w:sz="0" w:space="0" w:color="auto"/>
            <w:right w:val="none" w:sz="0" w:space="0" w:color="auto"/>
          </w:divBdr>
        </w:div>
        <w:div w:id="514920747">
          <w:marLeft w:val="0"/>
          <w:marRight w:val="0"/>
          <w:marTop w:val="0"/>
          <w:marBottom w:val="0"/>
          <w:divBdr>
            <w:top w:val="none" w:sz="0" w:space="0" w:color="auto"/>
            <w:left w:val="none" w:sz="0" w:space="0" w:color="auto"/>
            <w:bottom w:val="none" w:sz="0" w:space="0" w:color="auto"/>
            <w:right w:val="none" w:sz="0" w:space="0" w:color="auto"/>
          </w:divBdr>
        </w:div>
        <w:div w:id="778794112">
          <w:marLeft w:val="0"/>
          <w:marRight w:val="0"/>
          <w:marTop w:val="0"/>
          <w:marBottom w:val="0"/>
          <w:divBdr>
            <w:top w:val="none" w:sz="0" w:space="0" w:color="auto"/>
            <w:left w:val="none" w:sz="0" w:space="0" w:color="auto"/>
            <w:bottom w:val="none" w:sz="0" w:space="0" w:color="auto"/>
            <w:right w:val="none" w:sz="0" w:space="0" w:color="auto"/>
          </w:divBdr>
        </w:div>
        <w:div w:id="98839994">
          <w:marLeft w:val="0"/>
          <w:marRight w:val="0"/>
          <w:marTop w:val="0"/>
          <w:marBottom w:val="0"/>
          <w:divBdr>
            <w:top w:val="none" w:sz="0" w:space="0" w:color="auto"/>
            <w:left w:val="none" w:sz="0" w:space="0" w:color="auto"/>
            <w:bottom w:val="none" w:sz="0" w:space="0" w:color="auto"/>
            <w:right w:val="none" w:sz="0" w:space="0" w:color="auto"/>
          </w:divBdr>
        </w:div>
        <w:div w:id="45221144">
          <w:marLeft w:val="600"/>
          <w:marRight w:val="0"/>
          <w:marTop w:val="0"/>
          <w:marBottom w:val="0"/>
          <w:divBdr>
            <w:top w:val="none" w:sz="0" w:space="0" w:color="auto"/>
            <w:left w:val="none" w:sz="0" w:space="0" w:color="auto"/>
            <w:bottom w:val="none" w:sz="0" w:space="0" w:color="auto"/>
            <w:right w:val="none" w:sz="0" w:space="0" w:color="auto"/>
          </w:divBdr>
          <w:divsChild>
            <w:div w:id="1585068643">
              <w:marLeft w:val="0"/>
              <w:marRight w:val="0"/>
              <w:marTop w:val="0"/>
              <w:marBottom w:val="0"/>
              <w:divBdr>
                <w:top w:val="none" w:sz="0" w:space="0" w:color="auto"/>
                <w:left w:val="none" w:sz="0" w:space="0" w:color="auto"/>
                <w:bottom w:val="none" w:sz="0" w:space="0" w:color="auto"/>
                <w:right w:val="none" w:sz="0" w:space="0" w:color="auto"/>
              </w:divBdr>
            </w:div>
          </w:divsChild>
        </w:div>
        <w:div w:id="2142115955">
          <w:marLeft w:val="0"/>
          <w:marRight w:val="0"/>
          <w:marTop w:val="0"/>
          <w:marBottom w:val="0"/>
          <w:divBdr>
            <w:top w:val="none" w:sz="0" w:space="0" w:color="auto"/>
            <w:left w:val="none" w:sz="0" w:space="0" w:color="auto"/>
            <w:bottom w:val="none" w:sz="0" w:space="0" w:color="auto"/>
            <w:right w:val="none" w:sz="0" w:space="0" w:color="auto"/>
          </w:divBdr>
        </w:div>
        <w:div w:id="311065977">
          <w:marLeft w:val="0"/>
          <w:marRight w:val="0"/>
          <w:marTop w:val="0"/>
          <w:marBottom w:val="0"/>
          <w:divBdr>
            <w:top w:val="none" w:sz="0" w:space="0" w:color="auto"/>
            <w:left w:val="none" w:sz="0" w:space="0" w:color="auto"/>
            <w:bottom w:val="none" w:sz="0" w:space="0" w:color="auto"/>
            <w:right w:val="none" w:sz="0" w:space="0" w:color="auto"/>
          </w:divBdr>
        </w:div>
        <w:div w:id="808009603">
          <w:marLeft w:val="0"/>
          <w:marRight w:val="0"/>
          <w:marTop w:val="0"/>
          <w:marBottom w:val="0"/>
          <w:divBdr>
            <w:top w:val="none" w:sz="0" w:space="0" w:color="auto"/>
            <w:left w:val="none" w:sz="0" w:space="0" w:color="auto"/>
            <w:bottom w:val="none" w:sz="0" w:space="0" w:color="auto"/>
            <w:right w:val="none" w:sz="0" w:space="0" w:color="auto"/>
          </w:divBdr>
        </w:div>
      </w:divsChild>
    </w:div>
    <w:div w:id="1049721979">
      <w:bodyDiv w:val="1"/>
      <w:marLeft w:val="0"/>
      <w:marRight w:val="0"/>
      <w:marTop w:val="0"/>
      <w:marBottom w:val="0"/>
      <w:divBdr>
        <w:top w:val="none" w:sz="0" w:space="0" w:color="auto"/>
        <w:left w:val="none" w:sz="0" w:space="0" w:color="auto"/>
        <w:bottom w:val="none" w:sz="0" w:space="0" w:color="auto"/>
        <w:right w:val="none" w:sz="0" w:space="0" w:color="auto"/>
      </w:divBdr>
    </w:div>
    <w:div w:id="1744522663">
      <w:bodyDiv w:val="1"/>
      <w:marLeft w:val="0"/>
      <w:marRight w:val="0"/>
      <w:marTop w:val="0"/>
      <w:marBottom w:val="0"/>
      <w:divBdr>
        <w:top w:val="none" w:sz="0" w:space="0" w:color="auto"/>
        <w:left w:val="none" w:sz="0" w:space="0" w:color="auto"/>
        <w:bottom w:val="none" w:sz="0" w:space="0" w:color="auto"/>
        <w:right w:val="none" w:sz="0" w:space="0" w:color="auto"/>
      </w:divBdr>
    </w:div>
    <w:div w:id="1930507253">
      <w:bodyDiv w:val="1"/>
      <w:marLeft w:val="0"/>
      <w:marRight w:val="0"/>
      <w:marTop w:val="0"/>
      <w:marBottom w:val="0"/>
      <w:divBdr>
        <w:top w:val="none" w:sz="0" w:space="0" w:color="auto"/>
        <w:left w:val="none" w:sz="0" w:space="0" w:color="auto"/>
        <w:bottom w:val="none" w:sz="0" w:space="0" w:color="auto"/>
        <w:right w:val="none" w:sz="0" w:space="0" w:color="auto"/>
      </w:divBdr>
      <w:divsChild>
        <w:div w:id="588927286">
          <w:marLeft w:val="0"/>
          <w:marRight w:val="0"/>
          <w:marTop w:val="0"/>
          <w:marBottom w:val="0"/>
          <w:divBdr>
            <w:top w:val="none" w:sz="0" w:space="0" w:color="auto"/>
            <w:left w:val="none" w:sz="0" w:space="0" w:color="auto"/>
            <w:bottom w:val="single" w:sz="6" w:space="6" w:color="DDDDDD"/>
            <w:right w:val="none" w:sz="0" w:space="0" w:color="auto"/>
          </w:divBdr>
          <w:divsChild>
            <w:div w:id="1722634890">
              <w:marLeft w:val="0"/>
              <w:marRight w:val="0"/>
              <w:marTop w:val="90"/>
              <w:marBottom w:val="90"/>
              <w:divBdr>
                <w:top w:val="none" w:sz="0" w:space="0" w:color="auto"/>
                <w:left w:val="none" w:sz="0" w:space="0" w:color="auto"/>
                <w:bottom w:val="none" w:sz="0" w:space="0" w:color="auto"/>
                <w:right w:val="none" w:sz="0" w:space="0" w:color="auto"/>
              </w:divBdr>
            </w:div>
          </w:divsChild>
        </w:div>
        <w:div w:id="1826117961">
          <w:marLeft w:val="0"/>
          <w:marRight w:val="0"/>
          <w:marTop w:val="0"/>
          <w:marBottom w:val="0"/>
          <w:divBdr>
            <w:top w:val="none" w:sz="0" w:space="0" w:color="auto"/>
            <w:left w:val="none" w:sz="0" w:space="0" w:color="auto"/>
            <w:bottom w:val="single" w:sz="6" w:space="9" w:color="E5E5E5"/>
            <w:right w:val="none" w:sz="0" w:space="0" w:color="auto"/>
          </w:divBdr>
          <w:divsChild>
            <w:div w:id="192158924">
              <w:marLeft w:val="0"/>
              <w:marRight w:val="0"/>
              <w:marTop w:val="90"/>
              <w:marBottom w:val="90"/>
              <w:divBdr>
                <w:top w:val="none" w:sz="0" w:space="0" w:color="auto"/>
                <w:left w:val="none" w:sz="0" w:space="0" w:color="auto"/>
                <w:bottom w:val="none" w:sz="0" w:space="0" w:color="auto"/>
                <w:right w:val="none" w:sz="0" w:space="0" w:color="auto"/>
              </w:divBdr>
              <w:divsChild>
                <w:div w:id="1089077771">
                  <w:marLeft w:val="0"/>
                  <w:marRight w:val="0"/>
                  <w:marTop w:val="0"/>
                  <w:marBottom w:val="0"/>
                  <w:divBdr>
                    <w:top w:val="none" w:sz="0" w:space="0" w:color="auto"/>
                    <w:left w:val="none" w:sz="0" w:space="0" w:color="auto"/>
                    <w:bottom w:val="none" w:sz="0" w:space="0" w:color="auto"/>
                    <w:right w:val="none" w:sz="0" w:space="0" w:color="auto"/>
                  </w:divBdr>
                  <w:divsChild>
                    <w:div w:id="1922371136">
                      <w:marLeft w:val="0"/>
                      <w:marRight w:val="0"/>
                      <w:marTop w:val="0"/>
                      <w:marBottom w:val="0"/>
                      <w:divBdr>
                        <w:top w:val="none" w:sz="0" w:space="0" w:color="auto"/>
                        <w:left w:val="none" w:sz="0" w:space="0" w:color="auto"/>
                        <w:bottom w:val="none" w:sz="0" w:space="0" w:color="auto"/>
                        <w:right w:val="none" w:sz="0" w:space="0" w:color="auto"/>
                      </w:divBdr>
                      <w:divsChild>
                        <w:div w:id="708262192">
                          <w:marLeft w:val="0"/>
                          <w:marRight w:val="0"/>
                          <w:marTop w:val="30"/>
                          <w:marBottom w:val="0"/>
                          <w:divBdr>
                            <w:top w:val="none" w:sz="0" w:space="0" w:color="auto"/>
                            <w:left w:val="none" w:sz="0" w:space="0" w:color="auto"/>
                            <w:bottom w:val="none" w:sz="0" w:space="0" w:color="auto"/>
                            <w:right w:val="none" w:sz="0" w:space="0" w:color="auto"/>
                          </w:divBdr>
                        </w:div>
                        <w:div w:id="692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343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cs.google.com/spreadsheets/d/1dhUp496riwZ0AHqRP7I85oEvuP2jjEI0rcw1Fcm2zI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17CBC-2791-494B-8D0C-157187B9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17</cp:revision>
  <cp:lastPrinted>2016-07-28T13:37:00Z</cp:lastPrinted>
  <dcterms:created xsi:type="dcterms:W3CDTF">2016-07-29T19:09:00Z</dcterms:created>
  <dcterms:modified xsi:type="dcterms:W3CDTF">2016-08-08T14:35:00Z</dcterms:modified>
</cp:coreProperties>
</file>