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6"/>
        </w:rPr>
        <w:t>MANGALORE REFINERY AND PETROCHEMICALS LIMITED</w:t>
        <w:br/>
      </w:r>
      <w:r>
        <w:rPr>
          <w:b/>
          <w:color w:val="555555"/>
          <w:sz w:val="21"/>
        </w:rPr>
        <w:t>TECHNICAL SERVICES &amp; ASSET INTEGRITY DIVISION</w:t>
        <w:br/>
      </w:r>
      <w:r>
        <w:rPr>
          <w:b/>
          <w:color w:val="8B0000"/>
          <w:sz w:val="22"/>
        </w:rPr>
        <w:t>CONFIDENTIAL / INTERNAL APPROVAL NOTE</w:t>
        <w:br/>
      </w:r>
    </w:p>
    <w:p>
      <w:pPr>
        <w:jc w:val="center"/>
      </w:pPr>
      <w:r>
        <w:t>――――――――――――――――――――――――――――――――――――――――――――――――――――――――――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Equipment Tag: B-101-Crude-Furnace-Tube</w:t>
            </w:r>
          </w:p>
        </w:tc>
        <w:tc>
          <w:tcPr>
            <w:tcW w:type="dxa" w:w="4824"/>
          </w:tcPr>
          <w:p>
            <w:r>
              <w:rPr>
                <w:b/>
              </w:rPr>
              <w:t>Classification: On-Premise Sovereign Verified</w:t>
            </w:r>
          </w:p>
        </w:tc>
      </w:tr>
      <w:tr>
        <w:tc>
          <w:tcPr>
            <w:tcW w:type="dxa" w:w="4824"/>
          </w:tcPr>
          <w:p>
            <w:r>
              <w:rPr>
                <w:i/>
              </w:rPr>
              <w:t>Security Compliance: 100% Air-Gapped</w:t>
            </w:r>
          </w:p>
        </w:tc>
        <w:tc>
          <w:tcPr>
            <w:tcW w:type="dxa" w:w="4824"/>
          </w:tcPr>
          <w:p>
            <w:r>
              <w:rPr>
                <w:i/>
              </w:rPr>
              <w:t>Department: MRPL Refinery Operations</w:t>
            </w:r>
          </w:p>
        </w:tc>
      </w:tr>
    </w:tbl>
    <w:p/>
    <w:p>
      <w:r>
        <w:rPr>
          <w:b/>
        </w:rPr>
        <w:t>1.0 SUBJECT</w:t>
        <w:br/>
      </w:r>
      <w:r>
        <w:t>Approval for Continued Service Life of CDU-1 Furnace Coil B-101</w:t>
      </w:r>
    </w:p>
    <w:p>
      <w:r>
        <w:rPr>
          <w:b/>
        </w:rPr>
        <w:t>2.0 BACKGROUND &amp; OPERATIONAL CONTEXT</w:t>
        <w:br/>
      </w:r>
      <w:r>
        <w:t>Routine ultrasonic thickness testing was performed during the annual plant overhaul.</w:t>
      </w:r>
    </w:p>
    <w:p>
      <w:r>
        <w:rPr>
          <w:b/>
        </w:rPr>
        <w:t>3.0 NON-DESTRUCTIVE TESTING &amp; INSPECTION FINDINGS</w:t>
        <w:br/>
      </w:r>
      <w:r>
        <w:t>Minimum wall thickness recorded: 7.48 mm across 16 test grid points.</w:t>
      </w:r>
    </w:p>
    <w:p>
      <w:r>
        <w:rPr>
          <w:b/>
        </w:rPr>
        <w:t>4.0 ASME B31.3 CODE CALCULATIONS &amp; REMAINING LIFE</w:t>
        <w:br/>
      </w:r>
      <w:r>
        <w:t>ASME B31.3 Code calculations confirm 5.2 years of remaining safe operational life.</w:t>
      </w:r>
    </w:p>
    <w:p>
      <w:r>
        <w:rPr>
          <w:b/>
        </w:rPr>
        <w:t>5.0 FINANCIAL IMPLICATIONS &amp; BUDGETARY PROVISION</w:t>
        <w:br/>
      </w:r>
      <w:r>
        <w:t>INR 45,00,000/- proposed for routine retubing in FY 2028-29 overhaul plan.</w:t>
      </w:r>
    </w:p>
    <w:p>
      <w:r>
        <w:rPr>
          <w:b/>
        </w:rPr>
        <w:t>6.0 DELEGATION OF POWER (DOP) REFERENCE</w:t>
        <w:br/>
      </w:r>
      <w:r>
        <w:t>Item 4.2(b) of MRPL Delegation of Power.</w:t>
      </w:r>
    </w:p>
    <w:p>
      <w:r>
        <w:rPr>
          <w:b/>
        </w:rPr>
        <w:t>7.0 RECOMMENDATION &amp; PROPOSAL FOR APPROVAL</w:t>
        <w:br/>
      </w:r>
      <w:r>
        <w:t>Approval requested for continued operation with re-inspection after 24 months.</w:t>
      </w:r>
    </w:p>
    <w:p>
      <w:r>
        <w:br/>
        <w:br/>
      </w:r>
    </w:p>
    <w:p>
      <w:pPr>
        <w:jc w:val="right"/>
      </w:pPr>
      <w:r>
        <w:rPr>
          <w:b/>
        </w:rPr>
        <w:t>Submitted for Approval:</w:t>
        <w:br/>
        <w:br/>
        <w:t>_______________________</w:t>
        <w:br/>
        <w:t>Chief General Manager (Technical)</w:t>
        <w:br/>
        <w:t>MRPL Refinery Operations</w:t>
        <w:br/>
        <w:t>Mangalore Refinery and Petrochemicals Limited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