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6"/>
        </w:rPr>
        <w:t>MANGALORE REFINERY AND PETROCHEMICALS LIMITED</w:t>
        <w:br/>
      </w:r>
      <w:r>
        <w:rPr>
          <w:b/>
          <w:color w:val="555555"/>
          <w:sz w:val="21"/>
        </w:rPr>
        <w:t>TECHNICAL SERVICES &amp; ASSET INTEGRITY DIVISION</w:t>
        <w:br/>
      </w:r>
      <w:r>
        <w:rPr>
          <w:b/>
          <w:color w:val="8B0000"/>
          <w:sz w:val="22"/>
        </w:rPr>
        <w:t>CONFIDENTIAL / INTERNAL APPROVAL NOTE</w:t>
        <w:br/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Equipment Tag: B-101-Crude-Furnace-Tube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Classification: On-Premise Sovereign Verified</w:t>
            </w:r>
          </w:p>
        </w:tc>
      </w:tr>
      <w:tr>
        <w:tc>
          <w:tcPr>
            <w:tcW w:type="dxa" w:w="4824"/>
          </w:tcPr>
          <w:p>
            <w:r>
              <w:rPr>
                <w:i/>
              </w:rPr>
              <w:t>Security Compliance: 100% Air-Gapped</w:t>
            </w:r>
          </w:p>
        </w:tc>
        <w:tc>
          <w:tcPr>
            <w:tcW w:type="dxa" w:w="4824"/>
          </w:tcPr>
          <w:p>
            <w:r>
              <w:rPr>
                <w:i/>
              </w:rPr>
              <w:t>Department: Mangalore Refinery &amp; Petrochemicals Limited</w:t>
            </w:r>
          </w:p>
        </w:tc>
      </w:tr>
    </w:tbl>
    <w:p/>
    <w:p>
      <w:r>
        <w:rPr>
          <w:b/>
        </w:rPr>
        <w:t>1.0 SUBJECT</w:t>
        <w:br/>
      </w:r>
      <w:r>
        <w:t>Approval for Continued Operation / Retubing Schedule of B-101-Crude-Furnace-Tube under ASME B31.3 Standard</w:t>
      </w:r>
    </w:p>
    <w:p>
      <w:r>
        <w:rPr>
          <w:b/>
        </w:rPr>
        <w:t>2.0 BACKGROUND &amp; OPERATIONAL CONTEXT</w:t>
        <w:br/>
      </w:r>
      <w:r>
        <w:t>Routine ultrasonic non-destructive testing (NDT) was conducted on B-101-Crude-Furnace-Tube during the Q3 turnaround. The component operates at a design pressure of 4.0 MPa in the heavy crude distillation loop. Historical operational correspondence indicates an average localized corrosion rate of 0.25 mm/year.</w:t>
      </w:r>
    </w:p>
    <w:p>
      <w:r>
        <w:rPr>
          <w:b/>
        </w:rPr>
        <w:t>3.0 NON-DESTRUCTIVE TESTING &amp; INSPECTION FINDINGS</w:t>
        <w:br/>
      </w:r>
      <w:r>
        <w:t>Ultrasonic thickness gauging at 16 test grid points revealed a minimum measured wall thickness of 7.48 mm. No structural pitting or circumferential cracking was observed on visual inspection.</w:t>
      </w:r>
    </w:p>
    <w:p>
      <w:r>
        <w:rPr>
          <w:b/>
        </w:rPr>
        <w:t>4.0 ASME B31.3 CODE CALCULATIONS &amp; REMAINING LIFE</w:t>
        <w:br/>
      </w:r>
      <w:r>
        <w:t>As per ASME B31.3 Process Piping Code calculations verified in the on-premise execution sandbox: Minimum design thickness required = 6.1616 mm (inclusive of 3.0 mm corrosion allowance). Calculated safe margin = 1.318 mm, yielding an estimated remaining safe operational life of 5.27 years. Engineering Integrity Assessment Status: APPROVED_SAFE.</w:t>
      </w:r>
    </w:p>
    <w:p>
      <w:r>
        <w:rPr>
          <w:b/>
        </w:rPr>
        <w:t>5.0 FINANCIAL IMPLICATIONS &amp; BUDGETARY PROVISION</w:t>
        <w:br/>
      </w:r>
      <w:r>
        <w:t>No immediate emergency capital expenditure is required for replacement. Estimated budgetary provision of INR 45,00,000/- is recommended for routine scheduled coil retubing in the FY 2028-29 Annual Overhaul Plan.</w:t>
      </w:r>
    </w:p>
    <w:p>
      <w:r>
        <w:rPr>
          <w:b/>
        </w:rPr>
        <w:t>6.0 DELEGATION OF POWER (DOP) REFERENCE</w:t>
        <w:br/>
      </w:r>
      <w:r>
        <w:t>Item 4.2(b) of MRPL Delegation of Power (DOP) — Maintenance and Integrity Certification of Pressure Vessels.</w:t>
      </w:r>
    </w:p>
    <w:p>
      <w:r>
        <w:rPr>
          <w:b/>
        </w:rPr>
        <w:t>7.0 RECOMMENDATION &amp; PROPOSAL FOR APPROVAL</w:t>
        <w:br/>
      </w:r>
      <w:r>
        <w:t>In view of the verified ASME B31.3 compliance (5.27 years safe life remaining), it is recommended to approve continued operation of B-101-Crude-Furnace-Tube with next ultrasonic inspection scheduled after 24 months.</w:t>
      </w:r>
    </w:p>
    <w:p>
      <w:r>
        <w:br/>
        <w:br/>
      </w:r>
    </w:p>
    <w:p>
      <w:pPr>
        <w:jc w:val="right"/>
      </w:pPr>
      <w:r>
        <w:rPr>
          <w:b/>
        </w:rPr>
        <w:t>Submitted for Approval:</w:t>
        <w:br/>
        <w:br/>
        <w:t>_______________________</w:t>
        <w:br/>
        <w:t>Chief General Manager (Technical Services)</w:t>
        <w:br/>
        <w:t>Mangalore Refinery &amp; Petrochemicals Limited</w:t>
        <w:br/>
        <w:t>Mangalore Refinery and Petrochemicals Limited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