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Security Policy</w:t>
      </w:r>
    </w:p>
    <w:p>
      <w:r>
        <w:t>TechNova Solutions</w:t>
      </w:r>
    </w:p>
    <w:p>
      <w:r>
        <w:t>Internal Organizational Knowledge Document</w:t>
      </w:r>
    </w:p>
    <w:p>
      <w:pPr>
        <w:pStyle w:val="Heading1"/>
      </w:pPr>
      <w:r>
        <w:t>1. Password Requirements</w:t>
      </w:r>
    </w:p>
    <w:p>
      <w:r>
        <w:t>Passwords must contain at least 12 characters and should include a combination of uppercase letters, lowercase letters, numbers, and symbols.</w:t>
      </w:r>
    </w:p>
    <w:p>
      <w:pPr>
        <w:pStyle w:val="Heading1"/>
      </w:pPr>
      <w:r>
        <w:t>2. Password Protection</w:t>
      </w:r>
    </w:p>
    <w:p>
      <w:r>
        <w:t>Employees must not share passwords with other people. Passwords should not be written in publicly accessible locations.</w:t>
      </w:r>
    </w:p>
    <w:p>
      <w:pPr>
        <w:pStyle w:val="Heading1"/>
      </w:pPr>
      <w:r>
        <w:t>3. Multi-Factor Authentication</w:t>
      </w:r>
    </w:p>
    <w:p>
      <w:r>
        <w:t>Multi-factor authentication must be enabled for systems that require it under the organization's security standards.</w:t>
      </w:r>
    </w:p>
    <w:p>
      <w:pPr>
        <w:pStyle w:val="Heading1"/>
      </w:pPr>
      <w:r>
        <w:t>4. Device Security</w:t>
      </w:r>
    </w:p>
    <w:p>
      <w:r>
        <w:t>Employees must use approved security controls on company devices and should lock their devices when leaving them unattended.</w:t>
      </w:r>
    </w:p>
    <w:p>
      <w:pPr>
        <w:pStyle w:val="Heading1"/>
      </w:pPr>
      <w:r>
        <w:t>5. Security Incidents</w:t>
      </w:r>
    </w:p>
    <w:p>
      <w:r>
        <w:t>Suspected phishing, malware, unauthorized access, or loss of company devices must be reported to the IT security team promptly.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