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TechNova Solutions</w:t>
      </w:r>
    </w:p>
    <w:p>
      <w:r>
        <w:t>Internal Organizational Knowledge Document</w:t>
      </w:r>
    </w:p>
    <w:p>
      <w:pPr>
        <w:pStyle w:val="Heading1"/>
      </w:pPr>
      <w:r>
        <w:t>1. Annual Leave</w:t>
      </w:r>
    </w:p>
    <w:p>
      <w:r>
        <w:t>Full-time employees are entitled to 20 days of annual leave per calendar year. Annual leave should normally be requested in advance through the organization's leave management system.</w:t>
      </w:r>
    </w:p>
    <w:p>
      <w:pPr>
        <w:pStyle w:val="Heading1"/>
      </w:pPr>
      <w:r>
        <w:t>2. Sick Leave</w:t>
      </w:r>
    </w:p>
    <w:p>
      <w:r>
        <w:t>Employees may request sick leave when they are unable to work because of illness. Employees should notify their manager as soon as reasonably possible.</w:t>
      </w:r>
    </w:p>
    <w:p>
      <w:pPr>
        <w:pStyle w:val="Heading1"/>
      </w:pPr>
      <w:r>
        <w:t>3. Leave Approval</w:t>
      </w:r>
    </w:p>
    <w:p>
      <w:r>
        <w:t>Leave requests are subject to manager approval and operational requirements. Employees should avoid submitting leave requests at the last minute except in emergency situations.</w:t>
      </w:r>
    </w:p>
    <w:p>
      <w:pPr>
        <w:pStyle w:val="Heading1"/>
      </w:pPr>
      <w:r>
        <w:t>4. Carry Forward</w:t>
      </w:r>
    </w:p>
    <w:p>
      <w:r>
        <w:t>Up to 5 unused annual leave days may be carried forward to the following calendar year, subject to organizational rules.</w:t>
      </w:r>
    </w:p>
    <w:p>
      <w:pPr>
        <w:pStyle w:val="Heading1"/>
      </w:pPr>
      <w:r>
        <w:t>5. Emergency Leave</w:t>
      </w:r>
    </w:p>
    <w:p>
      <w:r>
        <w:t>Employees may request emergency leave for unexpected personal circumstances. The employee should inform the manager as soon as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