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Travel Policy</w:t>
      </w:r>
    </w:p>
    <w:p>
      <w:r>
        <w:t>TechNova Solutions</w:t>
      </w:r>
    </w:p>
    <w:p>
      <w:r>
        <w:t>Internal Organizational Knowledge Document</w:t>
      </w:r>
    </w:p>
    <w:p>
      <w:pPr>
        <w:pStyle w:val="Heading1"/>
      </w:pPr>
      <w:r>
        <w:t>1. Travel Authorization</w:t>
      </w:r>
    </w:p>
    <w:p>
      <w:r>
        <w:t>Business travel must receive appropriate authorization before bookings are made, except where emergency business circumstances require otherwise.</w:t>
      </w:r>
    </w:p>
    <w:p>
      <w:pPr>
        <w:pStyle w:val="Heading1"/>
      </w:pPr>
      <w:r>
        <w:t>2. Travel Booking</w:t>
      </w:r>
    </w:p>
    <w:p>
      <w:r>
        <w:t>Employees should use the organization's approved travel booking process for flights, accommodation, and other eligible travel arrangements.</w:t>
      </w:r>
    </w:p>
    <w:p>
      <w:pPr>
        <w:pStyle w:val="Heading1"/>
      </w:pPr>
      <w:r>
        <w:t>3. Transportation</w:t>
      </w:r>
    </w:p>
    <w:p>
      <w:r>
        <w:t>Reasonable transportation expenses incurred for approved business travel may be reimbursed according to organizational guidelines.</w:t>
      </w:r>
    </w:p>
    <w:p>
      <w:pPr>
        <w:pStyle w:val="Heading1"/>
      </w:pPr>
      <w:r>
        <w:t>4. Accommodation</w:t>
      </w:r>
    </w:p>
    <w:p>
      <w:r>
        <w:t>Employees should select reasonably priced accommodation that meets business requirements and organizational reimbursement limits.</w:t>
      </w:r>
    </w:p>
    <w:p>
      <w:pPr>
        <w:pStyle w:val="Heading1"/>
      </w:pPr>
      <w:r>
        <w:t>5. Expense Claims</w:t>
      </w:r>
    </w:p>
    <w:p>
      <w:r>
        <w:t>Employees must submit eligible travel expenses with appropriate receipts and supporting documentation after completing the trip.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