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Transforming Road Safety Through AI and Computer Vision</w:t>
      </w:r>
    </w:p>
    <w:p>
      <w:r>
        <w:t>Historically, the challenging process of discovering, documenting, and resolving these numerous problems has been labor-dependent, frequently responsive, and fundamentally restricted in scope. However, envision a tomorrow where our thoroughfares function not merely as passive channels, but as dynamic, intelligent contributors to their own upkeep and security. This vision is swiftly materializing through the revolutionary capabilities of Artificial Intelligence (AI) and Computer Vision. These advanced technologies stand ready to thoroughly transform our approach to infrastructure management and defect identification, introducing an unparalleled epoch of improved transportation safety for every motorist, pedestrian, and cyclist.</w:t>
      </w:r>
    </w:p>
    <w:p>
      <w:r>
        <w:drawing>
          <wp:inline xmlns:a="http://schemas.openxmlformats.org/drawingml/2006/main" xmlns:pic="http://schemas.openxmlformats.org/drawingml/2006/picture">
            <wp:extent cx="10604500" cy="8153399"/>
            <wp:docPr id="1" name="Picture 1"/>
            <wp:cNvGraphicFramePr>
              <a:graphicFrameLocks noChangeAspect="1"/>
            </wp:cNvGraphicFramePr>
            <a:graphic>
              <a:graphicData uri="http://schemas.openxmlformats.org/drawingml/2006/picture">
                <pic:pic>
                  <pic:nvPicPr>
                    <pic:cNvPr id="0" name="Screenshot from 2026-04-04 12-16-10.png"/>
                    <pic:cNvPicPr/>
                  </pic:nvPicPr>
                  <pic:blipFill>
                    <a:blip r:embed="rId9"/>
                    <a:stretch>
                      <a:fillRect/>
                    </a:stretch>
                  </pic:blipFill>
                  <pic:spPr>
                    <a:xfrm>
                      <a:off x="0" y="0"/>
                      <a:ext cx="10604500" cy="8153399"/>
                    </a:xfrm>
                    <a:prstGeom prst="rect"/>
                  </pic:spPr>
                </pic:pic>
              </a:graphicData>
            </a:graphic>
          </wp:inline>
        </w:drawing>
      </w:r>
    </w:p>
    <w:p>
      <w:pPr>
        <w:pStyle w:val="Heading1"/>
      </w:pPr>
      <w:r>
        <w:t>The Fundamental Obstacles and Constraints of Conventional Road Evaluations</w:t>
      </w:r>
    </w:p>
    <w:p>
      <w:r>
        <w:t>For generations, highway maintenance has depended on approaches that, despite being thorough, possess considerable drawbacks:</w:t>
        <w:br/>
        <w:br/>
        <w:br/>
        <w:br/>
        <w:t>Human-Dependent &amp; Subjective Evaluation</w:t>
        <w:br/>
        <w:br/>
        <w:br/>
        <w:br/>
        <w:t>Highway inspections frequently rely on personnel patrols, visual assessments, and manual information gathering. This creates subjectivity, as various evaluators may judge issue severity differently, resulting in inconsistent reporting and priority setting.</w:t>
        <w:br/>
        <w:br/>
        <w:br/>
        <w:br/>
        <w:t>Labor-Intensive &amp; Resource-Demanding</w:t>
        <w:br/>
        <w:br/>
        <w:br/>
        <w:br/>
        <w:t>Manually examining vast and complex transportation systems represents an extremely slow and demanding endeavor. It requires substantial workforce allocation, specialized equipment, and frequently necessitates expensive traffic control procedures to ensure evaluator protection, further hampering operations.</w:t>
        <w:br/>
        <w:br/>
        <w:br/>
        <w:br/>
        <w:t>Primarily Responsive Upkeep</w:t>
        <w:br/>
        <w:br/>
        <w:br/>
        <w:br/>
        <w:t>Problems are commonly discovered only after becoming visibly substantial, causing driver discomfort, or tragically contributing to collisions. This reactive methodology often involves addressing complications that have already intensified, resulting in costlier and more comprehensive repairs.</w:t>
        <w:br/>
        <w:br/>
        <w:br/>
        <w:br/>
        <w:t>Significant Safety Hazards for Workers</w:t>
        <w:br/>
        <w:br/>
        <w:br/>
        <w:br/>
        <w:t>Positioning evaluators directly on or adjacent to active highways exposes them to substantial dangers from vehicular traffic, making their crucial work inherently perilous.</w:t>
        <w:br/>
        <w:br/>
        <w:br/>
        <w:br/>
        <w:t>Information Fragmentation &amp; Inefficient Administration</w:t>
        <w:br/>
        <w:br/>
        <w:br/>
        <w:br/>
        <w:t>Data collected manually can become scattered, challenging to consolidate, and difficult to analyze thoroughly, impeding effective long-range planning and resource distribution.</w:t>
      </w:r>
    </w:p>
    <w:p>
      <w:r>
        <w:drawing>
          <wp:inline xmlns:a="http://schemas.openxmlformats.org/drawingml/2006/main" xmlns:pic="http://schemas.openxmlformats.org/drawingml/2006/picture">
            <wp:extent cx="3314700" cy="3289300"/>
            <wp:docPr id="2" name="Picture 2"/>
            <wp:cNvGraphicFramePr>
              <a:graphicFrameLocks noChangeAspect="1"/>
            </wp:cNvGraphicFramePr>
            <a:graphic>
              <a:graphicData uri="http://schemas.openxmlformats.org/drawingml/2006/picture">
                <pic:pic>
                  <pic:nvPicPr>
                    <pic:cNvPr id="0" name="Screenshot from 2026-04-17 15-25-39.png"/>
                    <pic:cNvPicPr/>
                  </pic:nvPicPr>
                  <pic:blipFill>
                    <a:blip r:embed="rId10"/>
                    <a:stretch>
                      <a:fillRect/>
                    </a:stretch>
                  </pic:blipFill>
                  <pic:spPr>
                    <a:xfrm>
                      <a:off x="0" y="0"/>
                      <a:ext cx="3314700" cy="32893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