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F1F547" w14:textId="768532B4" w:rsidR="006E5C33" w:rsidRPr="006E5C33" w:rsidRDefault="006E5C33" w:rsidP="006E5C33">
      <w:pPr>
        <w:spacing w:before="100" w:beforeAutospacing="1" w:after="100" w:afterAutospacing="1" w:line="240" w:lineRule="auto"/>
        <w:outlineLvl w:val="0"/>
        <w:rPr>
          <w:rFonts w:ascii="Calibri" w:eastAsia="Times New Roman" w:hAnsi="Calibri" w:cs="Calibri"/>
          <w:b/>
          <w:bCs/>
          <w:kern w:val="36"/>
          <w:sz w:val="48"/>
          <w:szCs w:val="48"/>
          <w14:ligatures w14:val="none"/>
        </w:rPr>
      </w:pPr>
      <w:r w:rsidRPr="006E5C33">
        <w:rPr>
          <w:rFonts w:ascii="Calibri" w:eastAsia="Times New Roman" w:hAnsi="Calibri" w:cs="Calibri"/>
          <w:b/>
          <w:bCs/>
          <w:kern w:val="36"/>
          <w:sz w:val="48"/>
          <w:szCs w:val="48"/>
          <w14:ligatures w14:val="none"/>
        </w:rPr>
        <w:t>Agentic AI for Clinical Decision Making and Pattern Recognition in Healthcare Payment</w:t>
      </w:r>
    </w:p>
    <w:p w14:paraId="495B81EE" w14:textId="2361E928" w:rsidR="006E5C33" w:rsidRPr="006E5C33" w:rsidRDefault="006E5C33" w:rsidP="006E5C33">
      <w:pPr>
        <w:spacing w:before="100" w:beforeAutospacing="1" w:after="100" w:afterAutospacing="1" w:line="240" w:lineRule="auto"/>
        <w:rPr>
          <w:rFonts w:ascii="Calibri" w:eastAsia="Times New Roman" w:hAnsi="Calibri" w:cs="Calibri"/>
          <w:kern w:val="0"/>
          <w14:ligatures w14:val="none"/>
        </w:rPr>
      </w:pPr>
      <w:r>
        <w:rPr>
          <w:rFonts w:ascii="Calibri" w:eastAsia="Times New Roman" w:hAnsi="Calibri" w:cs="Calibri"/>
          <w:i/>
          <w:iCs/>
          <w:kern w:val="0"/>
          <w14:ligatures w14:val="none"/>
        </w:rPr>
        <w:t>Bhanuprasad kokkula</w:t>
      </w:r>
      <w:r w:rsidRPr="006E5C33">
        <w:rPr>
          <w:rFonts w:ascii="Calibri" w:eastAsia="Times New Roman" w:hAnsi="Calibri" w:cs="Calibri"/>
          <w:i/>
          <w:iCs/>
          <w:kern w:val="0"/>
          <w14:ligatures w14:val="none"/>
        </w:rPr>
        <w:t xml:space="preserve"> — </w:t>
      </w:r>
      <w:r>
        <w:rPr>
          <w:rFonts w:ascii="Calibri" w:eastAsia="Times New Roman" w:hAnsi="Calibri" w:cs="Calibri"/>
          <w:i/>
          <w:iCs/>
          <w:kern w:val="0"/>
          <w14:ligatures w14:val="none"/>
        </w:rPr>
        <w:t>Rutgers University</w:t>
      </w:r>
      <w:r w:rsidRPr="006E5C33">
        <w:rPr>
          <w:rFonts w:ascii="Calibri" w:eastAsia="Times New Roman" w:hAnsi="Calibri" w:cs="Calibri"/>
          <w:i/>
          <w:iCs/>
          <w:kern w:val="0"/>
          <w14:ligatures w14:val="none"/>
        </w:rPr>
        <w:t xml:space="preserve"> —</w:t>
      </w:r>
      <w:r w:rsidR="003A0CE5">
        <w:rPr>
          <w:rFonts w:ascii="Calibri" w:eastAsia="Times New Roman" w:hAnsi="Calibri" w:cs="Calibri"/>
          <w:i/>
          <w:iCs/>
          <w:kern w:val="0"/>
          <w14:ligatures w14:val="none"/>
        </w:rPr>
        <w:t xml:space="preserve"> Intern GenAI/Research/Agentic AI </w:t>
      </w:r>
      <w:r w:rsidR="001D4606">
        <w:rPr>
          <w:rFonts w:ascii="Calibri" w:eastAsia="Times New Roman" w:hAnsi="Calibri" w:cs="Calibri"/>
          <w:i/>
          <w:iCs/>
          <w:kern w:val="0"/>
          <w14:ligatures w14:val="none"/>
        </w:rPr>
        <w:t>-</w:t>
      </w:r>
      <w:r w:rsidR="003A0CE5">
        <w:rPr>
          <w:rFonts w:ascii="Calibri" w:eastAsia="Times New Roman" w:hAnsi="Calibri" w:cs="Calibri"/>
          <w:i/>
          <w:iCs/>
          <w:kern w:val="0"/>
          <w14:ligatures w14:val="none"/>
        </w:rPr>
        <w:t xml:space="preserve">  </w:t>
      </w:r>
      <w:r w:rsidRPr="006E5C33">
        <w:rPr>
          <w:rFonts w:ascii="Calibri" w:eastAsia="Times New Roman" w:hAnsi="Calibri" w:cs="Calibri"/>
          <w:i/>
          <w:iCs/>
          <w:kern w:val="0"/>
          <w14:ligatures w14:val="none"/>
        </w:rPr>
        <w:t xml:space="preserve"> </w:t>
      </w:r>
      <w:r>
        <w:rPr>
          <w:rFonts w:ascii="Calibri" w:eastAsia="Times New Roman" w:hAnsi="Calibri" w:cs="Calibri"/>
          <w:i/>
          <w:iCs/>
          <w:kern w:val="0"/>
          <w14:ligatures w14:val="none"/>
        </w:rPr>
        <w:t>7</w:t>
      </w:r>
      <w:r w:rsidRPr="006E5C33">
        <w:rPr>
          <w:rFonts w:ascii="Calibri" w:eastAsia="Times New Roman" w:hAnsi="Calibri" w:cs="Calibri"/>
          <w:i/>
          <w:iCs/>
          <w:kern w:val="0"/>
          <w:vertAlign w:val="superscript"/>
          <w14:ligatures w14:val="none"/>
        </w:rPr>
        <w:t>th</w:t>
      </w:r>
      <w:r>
        <w:rPr>
          <w:rFonts w:ascii="Calibri" w:eastAsia="Times New Roman" w:hAnsi="Calibri" w:cs="Calibri"/>
          <w:i/>
          <w:iCs/>
          <w:kern w:val="0"/>
          <w14:ligatures w14:val="none"/>
        </w:rPr>
        <w:t xml:space="preserve"> august</w:t>
      </w:r>
      <w:r w:rsidRPr="006E5C33">
        <w:rPr>
          <w:rFonts w:ascii="Calibri" w:eastAsia="Times New Roman" w:hAnsi="Calibri" w:cs="Calibri"/>
          <w:kern w:val="0"/>
          <w14:ligatures w14:val="none"/>
        </w:rPr>
        <w:t xml:space="preserve"> </w:t>
      </w:r>
      <w:r w:rsidRPr="001D4606">
        <w:rPr>
          <w:rFonts w:ascii="Calibri" w:eastAsia="Times New Roman" w:hAnsi="Calibri" w:cs="Calibri"/>
          <w:b/>
          <w:bCs/>
          <w:i/>
          <w:iCs/>
          <w:kern w:val="0"/>
          <w14:ligatures w14:val="none"/>
        </w:rPr>
        <w:t>Topic</w:t>
      </w:r>
      <w:r w:rsidRPr="006E5C33">
        <w:rPr>
          <w:rFonts w:ascii="Calibri" w:eastAsia="Times New Roman" w:hAnsi="Calibri" w:cs="Calibri"/>
          <w:i/>
          <w:iCs/>
          <w:kern w:val="0"/>
          <w14:ligatures w14:val="none"/>
        </w:rPr>
        <w:t>: Clinical Decision Making and Pattern Recognition in Health Care</w:t>
      </w:r>
    </w:p>
    <w:p w14:paraId="569458D5" w14:textId="77777777" w:rsidR="006E5C33" w:rsidRPr="00185602" w:rsidRDefault="006E5C33" w:rsidP="006E5C33">
      <w:pPr>
        <w:spacing w:before="100" w:beforeAutospacing="1" w:after="100" w:afterAutospacing="1" w:line="240" w:lineRule="auto"/>
        <w:outlineLvl w:val="1"/>
        <w:rPr>
          <w:rFonts w:ascii="Calibri" w:eastAsia="Times New Roman" w:hAnsi="Calibri" w:cs="Calibri"/>
          <w:b/>
          <w:bCs/>
          <w:kern w:val="0"/>
          <w:sz w:val="28"/>
          <w:szCs w:val="28"/>
          <w14:ligatures w14:val="none"/>
        </w:rPr>
      </w:pPr>
      <w:r w:rsidRPr="00185602">
        <w:rPr>
          <w:rFonts w:ascii="Calibri" w:eastAsia="Times New Roman" w:hAnsi="Calibri" w:cs="Calibri"/>
          <w:b/>
          <w:bCs/>
          <w:kern w:val="0"/>
          <w:sz w:val="28"/>
          <w:szCs w:val="28"/>
          <w14:ligatures w14:val="none"/>
        </w:rPr>
        <w:t>1. Concept Definition</w:t>
      </w:r>
    </w:p>
    <w:p w14:paraId="525BF4F4" w14:textId="77777777" w:rsidR="001D4606" w:rsidRPr="001D4606" w:rsidRDefault="001D4606" w:rsidP="001D4606">
      <w:pPr>
        <w:pStyle w:val="NormalWeb"/>
        <w:rPr>
          <w:rFonts w:ascii="Calibri" w:hAnsi="Calibri" w:cs="Calibri"/>
        </w:rPr>
      </w:pPr>
      <w:r w:rsidRPr="001D4606">
        <w:rPr>
          <w:rFonts w:ascii="Calibri" w:hAnsi="Calibri" w:cs="Calibri"/>
        </w:rPr>
        <w:t>Agentic AI refers to systems that autonomously plan multi-step tasks, use tools and data, and adapt based on outcomes. Unlike generative AI’s single-input, single-output pattern or classical ML’s fixed prediction pipelines, agents can reason and act toward a goal. In healthcare, these capabilities align with HIPAA’s Treatment, Payment, and Operations framework. This report focuses on Payment, where classification and anomaly detection offer proven ROI, decisions can be audited against policy, and Cotiviti has an established payment-integrity business.</w:t>
      </w:r>
    </w:p>
    <w:p w14:paraId="48890DB0" w14:textId="5112440C" w:rsidR="006E5C33" w:rsidRPr="00185602" w:rsidRDefault="006E5C33" w:rsidP="00185602">
      <w:pPr>
        <w:rPr>
          <w:b/>
          <w:bCs/>
          <w:sz w:val="28"/>
          <w:szCs w:val="28"/>
        </w:rPr>
      </w:pPr>
      <w:r w:rsidRPr="00185602">
        <w:rPr>
          <w:b/>
          <w:bCs/>
          <w:sz w:val="28"/>
          <w:szCs w:val="28"/>
        </w:rPr>
        <w:t>2. Trends</w:t>
      </w:r>
    </w:p>
    <w:p w14:paraId="3534235B" w14:textId="69444EF6" w:rsidR="001D4606" w:rsidRPr="001D4606" w:rsidRDefault="001D4606" w:rsidP="001D4606">
      <w:pPr>
        <w:pStyle w:val="ListParagraph"/>
        <w:numPr>
          <w:ilvl w:val="0"/>
          <w:numId w:val="3"/>
        </w:numPr>
        <w:spacing w:after="0" w:line="240" w:lineRule="auto"/>
        <w:rPr>
          <w:rFonts w:ascii="Calibri" w:eastAsia="Times New Roman" w:hAnsi="Calibri" w:cs="Calibri"/>
          <w:kern w:val="0"/>
          <w14:ligatures w14:val="none"/>
        </w:rPr>
      </w:pPr>
      <w:r w:rsidRPr="001D4606">
        <w:rPr>
          <w:rFonts w:ascii="Calibri" w:eastAsia="Times New Roman" w:hAnsi="Calibri" w:cs="Calibri"/>
          <w:b/>
          <w:bCs/>
          <w:kern w:val="0"/>
          <w14:ligatures w14:val="none"/>
        </w:rPr>
        <w:t>From Generative to Agentic systems.</w:t>
      </w:r>
      <w:r w:rsidRPr="001D4606">
        <w:rPr>
          <w:rFonts w:ascii="Calibri" w:eastAsia="Times New Roman" w:hAnsi="Calibri" w:cs="Calibri"/>
          <w:kern w:val="0"/>
          <w14:ligatures w14:val="none"/>
        </w:rPr>
        <w:t xml:space="preserve"> Healthcare is moving from single-shot models to autonomous, multi-step agents. Mount Sinai, Mayo Clinic, and the NHS are already piloting AI agents (Philips, 2026), but adoption is still concentrated among larger, tech-forward organizations (</w:t>
      </w:r>
      <w:r w:rsidRPr="001D4606">
        <w:rPr>
          <w:rFonts w:ascii="Calibri" w:eastAsia="Times New Roman" w:hAnsi="Calibri" w:cs="Calibri"/>
          <w:kern w:val="0"/>
          <w14:ligatures w14:val="none"/>
        </w:rPr>
        <w:t>health Verity</w:t>
      </w:r>
      <w:r w:rsidRPr="001D4606">
        <w:rPr>
          <w:rFonts w:ascii="Calibri" w:eastAsia="Times New Roman" w:hAnsi="Calibri" w:cs="Calibri"/>
          <w:kern w:val="0"/>
          <w14:ligatures w14:val="none"/>
        </w:rPr>
        <w:t>, 2025), leaving a strong window to build now.</w:t>
      </w:r>
    </w:p>
    <w:p w14:paraId="2C3D236A" w14:textId="73F15B5F" w:rsidR="001D4606" w:rsidRPr="001D4606" w:rsidRDefault="001D4606" w:rsidP="001D4606">
      <w:pPr>
        <w:pStyle w:val="ListParagraph"/>
        <w:numPr>
          <w:ilvl w:val="0"/>
          <w:numId w:val="3"/>
        </w:numPr>
        <w:spacing w:after="0" w:line="240" w:lineRule="auto"/>
        <w:rPr>
          <w:rFonts w:ascii="Calibri" w:eastAsia="Times New Roman" w:hAnsi="Calibri" w:cs="Calibri"/>
          <w:kern w:val="0"/>
          <w14:ligatures w14:val="none"/>
        </w:rPr>
      </w:pPr>
      <w:r w:rsidRPr="001D4606">
        <w:rPr>
          <w:rFonts w:ascii="Calibri" w:eastAsia="Times New Roman" w:hAnsi="Calibri" w:cs="Calibri"/>
          <w:b/>
          <w:bCs/>
          <w:kern w:val="0"/>
          <w14:ligatures w14:val="none"/>
        </w:rPr>
        <w:t>Improper payments remain a major problem.</w:t>
      </w:r>
      <w:r w:rsidRPr="001D4606">
        <w:rPr>
          <w:rFonts w:ascii="Calibri" w:eastAsia="Times New Roman" w:hAnsi="Calibri" w:cs="Calibri"/>
          <w:kern w:val="0"/>
          <w14:ligatures w14:val="none"/>
        </w:rPr>
        <w:t xml:space="preserve"> CMS estimated FY2025 improper payments at $28.8B for Medicare and $37.4B for Medicaid, while GAO reported over $100B combined in FY2023. CMS is now using AI in claims analysis and program integrity efforts.</w:t>
      </w:r>
    </w:p>
    <w:p w14:paraId="461BBF34" w14:textId="0FC5DB5F" w:rsidR="001D4606" w:rsidRPr="001D4606" w:rsidRDefault="001D4606" w:rsidP="001D4606">
      <w:pPr>
        <w:pStyle w:val="ListParagraph"/>
        <w:numPr>
          <w:ilvl w:val="0"/>
          <w:numId w:val="3"/>
        </w:numPr>
        <w:spacing w:before="100" w:beforeAutospacing="1" w:after="100" w:afterAutospacing="1" w:line="240" w:lineRule="auto"/>
        <w:outlineLvl w:val="1"/>
        <w:rPr>
          <w:rFonts w:ascii="Calibri" w:eastAsia="Times New Roman" w:hAnsi="Calibri" w:cs="Calibri"/>
          <w:kern w:val="0"/>
          <w14:ligatures w14:val="none"/>
        </w:rPr>
      </w:pPr>
      <w:r w:rsidRPr="001D4606">
        <w:rPr>
          <w:rFonts w:ascii="Calibri" w:eastAsia="Times New Roman" w:hAnsi="Calibri" w:cs="Calibri"/>
          <w:b/>
          <w:bCs/>
          <w:kern w:val="0"/>
          <w14:ligatures w14:val="none"/>
        </w:rPr>
        <w:t>AI governance is becoming formalized.</w:t>
      </w:r>
      <w:r w:rsidRPr="001D4606">
        <w:rPr>
          <w:rFonts w:ascii="Calibri" w:eastAsia="Times New Roman" w:hAnsi="Calibri" w:cs="Calibri"/>
          <w:kern w:val="0"/>
          <w14:ligatures w14:val="none"/>
        </w:rPr>
        <w:t xml:space="preserve"> HHS released a department-wide AI Strategy in December 2025, while the Joint Commission and CHAI introduced governance guidance and voluntary certification. Autonomous payment systems will increasingly require clear oversight, human accountability, and auditability.</w:t>
      </w:r>
    </w:p>
    <w:p w14:paraId="44374750" w14:textId="79081508" w:rsidR="006E5C33" w:rsidRPr="00185602" w:rsidRDefault="006E5C33" w:rsidP="001D4606">
      <w:pPr>
        <w:spacing w:before="100" w:beforeAutospacing="1" w:after="100" w:afterAutospacing="1" w:line="240" w:lineRule="auto"/>
        <w:outlineLvl w:val="1"/>
        <w:rPr>
          <w:rFonts w:ascii="Calibri" w:eastAsia="Times New Roman" w:hAnsi="Calibri" w:cs="Calibri"/>
          <w:b/>
          <w:bCs/>
          <w:kern w:val="0"/>
          <w:sz w:val="28"/>
          <w:szCs w:val="28"/>
          <w14:ligatures w14:val="none"/>
        </w:rPr>
      </w:pPr>
      <w:r w:rsidRPr="00185602">
        <w:rPr>
          <w:rFonts w:ascii="Calibri" w:eastAsia="Times New Roman" w:hAnsi="Calibri" w:cs="Calibri"/>
          <w:b/>
          <w:bCs/>
          <w:kern w:val="0"/>
          <w:sz w:val="28"/>
          <w:szCs w:val="28"/>
          <w14:ligatures w14:val="none"/>
        </w:rPr>
        <w:t>3. Opportunities and Threats</w:t>
      </w:r>
    </w:p>
    <w:p w14:paraId="053C719C" w14:textId="77777777" w:rsidR="001D4606" w:rsidRPr="001D4606" w:rsidRDefault="001D4606" w:rsidP="001D4606">
      <w:pPr>
        <w:pStyle w:val="NormalWeb"/>
        <w:rPr>
          <w:rFonts w:ascii="Calibri" w:hAnsi="Calibri" w:cs="Calibri"/>
        </w:rPr>
      </w:pPr>
      <w:r w:rsidRPr="001D4606">
        <w:rPr>
          <w:rStyle w:val="Strong"/>
          <w:rFonts w:ascii="Calibri" w:hAnsi="Calibri" w:cs="Calibri"/>
        </w:rPr>
        <w:t>Opportunities.</w:t>
      </w:r>
      <w:r w:rsidRPr="001D4606">
        <w:rPr>
          <w:rFonts w:ascii="Calibri" w:hAnsi="Calibri" w:cs="Calibri"/>
        </w:rPr>
        <w:t xml:space="preserve"> Agentic systems can review claims in context, justify decisions with cited policy, and flag novel patterns for human review. In fraud, waste, and abuse detection, combining anomaly detection with policy retrieval could reduce the time needed to move from “unusual” to “</w:t>
      </w:r>
      <w:proofErr w:type="spellStart"/>
      <w:r w:rsidRPr="001D4606">
        <w:rPr>
          <w:rFonts w:ascii="Calibri" w:hAnsi="Calibri" w:cs="Calibri"/>
        </w:rPr>
        <w:t>explainably</w:t>
      </w:r>
      <w:proofErr w:type="spellEnd"/>
      <w:r w:rsidRPr="001D4606">
        <w:rPr>
          <w:rFonts w:ascii="Calibri" w:hAnsi="Calibri" w:cs="Calibri"/>
        </w:rPr>
        <w:t xml:space="preserve"> improper.”</w:t>
      </w:r>
    </w:p>
    <w:p w14:paraId="7ADF2471" w14:textId="77777777" w:rsidR="001D4606" w:rsidRPr="001D4606" w:rsidRDefault="001D4606" w:rsidP="001D4606">
      <w:pPr>
        <w:pStyle w:val="NormalWeb"/>
        <w:rPr>
          <w:rFonts w:ascii="Calibri" w:hAnsi="Calibri" w:cs="Calibri"/>
        </w:rPr>
      </w:pPr>
      <w:r w:rsidRPr="001D4606">
        <w:rPr>
          <w:rStyle w:val="Strong"/>
          <w:rFonts w:ascii="Calibri" w:hAnsi="Calibri" w:cs="Calibri"/>
        </w:rPr>
        <w:t>Threats.</w:t>
      </w:r>
      <w:r w:rsidRPr="001D4606">
        <w:rPr>
          <w:rFonts w:ascii="Calibri" w:hAnsi="Calibri" w:cs="Calibri"/>
        </w:rPr>
        <w:t xml:space="preserve"> Autonomy also raises risk: hallucinated reasoning can create financial and legal exposure, multi-step decisions are harder to audit, and excessive automation can increase compliance and provider friction. This makes governance, human oversight, and decision logging essential from the start.</w:t>
      </w:r>
    </w:p>
    <w:p w14:paraId="6357548A" w14:textId="77777777" w:rsidR="00185602" w:rsidRPr="001D4606" w:rsidRDefault="006E5C33" w:rsidP="00185602">
      <w:pPr>
        <w:spacing w:before="100" w:beforeAutospacing="1" w:after="100" w:afterAutospacing="1" w:line="240" w:lineRule="auto"/>
        <w:outlineLvl w:val="1"/>
        <w:rPr>
          <w:rFonts w:ascii="Calibri" w:eastAsia="Times New Roman" w:hAnsi="Calibri" w:cs="Calibri"/>
          <w:b/>
          <w:bCs/>
          <w:kern w:val="0"/>
          <w:sz w:val="28"/>
          <w:szCs w:val="28"/>
          <w14:ligatures w14:val="none"/>
        </w:rPr>
      </w:pPr>
      <w:r w:rsidRPr="001D4606">
        <w:rPr>
          <w:rFonts w:ascii="Calibri" w:eastAsia="Times New Roman" w:hAnsi="Calibri" w:cs="Calibri"/>
          <w:b/>
          <w:bCs/>
          <w:kern w:val="0"/>
          <w:sz w:val="28"/>
          <w:szCs w:val="28"/>
          <w14:ligatures w14:val="none"/>
        </w:rPr>
        <w:lastRenderedPageBreak/>
        <w:t>4. Strategic Options for Cotiviti</w:t>
      </w:r>
    </w:p>
    <w:p w14:paraId="0C9A7E2E" w14:textId="6BB7368D" w:rsidR="00185602" w:rsidRPr="00185602" w:rsidRDefault="00185602" w:rsidP="00185602">
      <w:pPr>
        <w:spacing w:before="100" w:beforeAutospacing="1" w:after="100" w:afterAutospacing="1" w:line="240" w:lineRule="auto"/>
        <w:outlineLvl w:val="1"/>
        <w:rPr>
          <w:rFonts w:ascii="Calibri" w:eastAsia="Times New Roman" w:hAnsi="Calibri" w:cs="Calibri"/>
          <w:b/>
          <w:bCs/>
          <w:kern w:val="0"/>
          <w:sz w:val="36"/>
          <w:szCs w:val="36"/>
          <w14:ligatures w14:val="none"/>
        </w:rPr>
      </w:pPr>
      <w:r w:rsidRPr="00185602">
        <w:rPr>
          <w:rStyle w:val="Strong"/>
          <w:rFonts w:ascii="Calibri" w:hAnsi="Calibri" w:cs="Calibri"/>
        </w:rPr>
        <w:t>Option 1</w:t>
      </w:r>
      <w:r w:rsidRPr="00185602">
        <w:rPr>
          <w:rStyle w:val="Strong"/>
          <w:rFonts w:ascii="Calibri" w:hAnsi="Calibri" w:cs="Calibri"/>
        </w:rPr>
        <w:t xml:space="preserve">: </w:t>
      </w:r>
      <w:r w:rsidRPr="00185602">
        <w:rPr>
          <w:rStyle w:val="Strong"/>
          <w:rFonts w:ascii="Calibri" w:hAnsi="Calibri" w:cs="Calibri"/>
        </w:rPr>
        <w:t xml:space="preserve"> Pilot agent-assisted claims review inside existing payment-integrity workflows.</w:t>
      </w:r>
      <w:r w:rsidRPr="00185602">
        <w:rPr>
          <w:rFonts w:ascii="Calibri" w:hAnsi="Calibri" w:cs="Calibri"/>
        </w:rPr>
        <w:t xml:space="preserve"> Deploy agents in a strictly assistive posture: the agent reads a flagged claim, retrieves the relevant policy language, and drafts a reasoned recommendation with citations, while a human analyst makes the determination. This targets analyst throughput</w:t>
      </w:r>
      <w:r>
        <w:rPr>
          <w:rFonts w:ascii="Calibri" w:hAnsi="Calibri" w:cs="Calibri"/>
        </w:rPr>
        <w:t>,</w:t>
      </w:r>
      <w:r w:rsidRPr="00185602">
        <w:rPr>
          <w:rFonts w:ascii="Calibri" w:hAnsi="Calibri" w:cs="Calibri"/>
        </w:rPr>
        <w:t xml:space="preserve"> the practical bottleneck in payment integrity</w:t>
      </w:r>
      <w:r>
        <w:rPr>
          <w:rFonts w:ascii="Calibri" w:hAnsi="Calibri" w:cs="Calibri"/>
        </w:rPr>
        <w:t xml:space="preserve"> </w:t>
      </w:r>
      <w:r w:rsidRPr="00185602">
        <w:rPr>
          <w:rFonts w:ascii="Calibri" w:hAnsi="Calibri" w:cs="Calibri"/>
        </w:rPr>
        <w:t>keeps accountability human, and generates the labeled reasoning data needed to evaluate fuller autonomy later.</w:t>
      </w:r>
    </w:p>
    <w:p w14:paraId="1DE77139" w14:textId="281E2E93" w:rsidR="00185602" w:rsidRPr="00185602" w:rsidRDefault="00185602" w:rsidP="00185602">
      <w:pPr>
        <w:pStyle w:val="font-claude-response-body"/>
        <w:rPr>
          <w:rFonts w:ascii="Calibri" w:hAnsi="Calibri" w:cs="Calibri"/>
        </w:rPr>
      </w:pPr>
      <w:r w:rsidRPr="00185602">
        <w:rPr>
          <w:rStyle w:val="Strong"/>
          <w:rFonts w:ascii="Calibri" w:hAnsi="Calibri" w:cs="Calibri"/>
        </w:rPr>
        <w:t>Option 2</w:t>
      </w:r>
      <w:r w:rsidRPr="00185602">
        <w:rPr>
          <w:rStyle w:val="Strong"/>
          <w:rFonts w:ascii="Calibri" w:hAnsi="Calibri" w:cs="Calibri"/>
        </w:rPr>
        <w:t xml:space="preserve">: </w:t>
      </w:r>
      <w:r w:rsidRPr="00185602">
        <w:rPr>
          <w:rStyle w:val="Strong"/>
          <w:rFonts w:ascii="Calibri" w:hAnsi="Calibri" w:cs="Calibri"/>
        </w:rPr>
        <w:t xml:space="preserve"> Invest in auditable-by-design agent infrastructure as a market differentiator.</w:t>
      </w:r>
      <w:r w:rsidRPr="00185602">
        <w:rPr>
          <w:rFonts w:ascii="Calibri" w:hAnsi="Calibri" w:cs="Calibri"/>
        </w:rPr>
        <w:t xml:space="preserve"> Build logging, reasoning-trace capture, and an evaluation harness for agentic decisions as a first-class product capability, aligned with frameworks like the Joint Commission/CHAI guidance. As payers face growing scrutiny of AI-driven determinations, a vendor that can prove how every judgment was made converts governance from a compliance cost into a selling point.</w:t>
      </w:r>
    </w:p>
    <w:p w14:paraId="38EE43CC" w14:textId="516E847B" w:rsidR="00185602" w:rsidRPr="00185602" w:rsidRDefault="00185602" w:rsidP="00185602">
      <w:pPr>
        <w:pStyle w:val="font-claude-response-body"/>
        <w:rPr>
          <w:rFonts w:ascii="Calibri" w:hAnsi="Calibri" w:cs="Calibri"/>
        </w:rPr>
      </w:pPr>
      <w:r w:rsidRPr="00185602">
        <w:rPr>
          <w:rStyle w:val="Strong"/>
          <w:rFonts w:ascii="Calibri" w:hAnsi="Calibri" w:cs="Calibri"/>
        </w:rPr>
        <w:t>Option 3</w:t>
      </w:r>
      <w:r w:rsidRPr="00185602">
        <w:rPr>
          <w:rStyle w:val="Strong"/>
          <w:rFonts w:ascii="Calibri" w:hAnsi="Calibri" w:cs="Calibri"/>
        </w:rPr>
        <w:t xml:space="preserve">: </w:t>
      </w:r>
      <w:r w:rsidRPr="00185602">
        <w:rPr>
          <w:rStyle w:val="Strong"/>
          <w:rFonts w:ascii="Calibri" w:hAnsi="Calibri" w:cs="Calibri"/>
        </w:rPr>
        <w:t>Take a public research position on autonomy boundaries in payment decisions.</w:t>
      </w:r>
      <w:r w:rsidRPr="00185602">
        <w:rPr>
          <w:rFonts w:ascii="Calibri" w:hAnsi="Calibri" w:cs="Calibri"/>
        </w:rPr>
        <w:t xml:space="preserve"> Define and publish where agent autonomy is appropriate (enrichment and triage) versus where human escalation must be mandatory (final adverse determinations). This positions Cotiviti as a standards-shaper in a </w:t>
      </w:r>
      <w:proofErr w:type="gramStart"/>
      <w:r w:rsidRPr="00185602">
        <w:rPr>
          <w:rFonts w:ascii="Calibri" w:hAnsi="Calibri" w:cs="Calibri"/>
        </w:rPr>
        <w:t>space regulators</w:t>
      </w:r>
      <w:proofErr w:type="gramEnd"/>
      <w:r w:rsidRPr="00185602">
        <w:rPr>
          <w:rFonts w:ascii="Calibri" w:hAnsi="Calibri" w:cs="Calibri"/>
        </w:rPr>
        <w:t xml:space="preserve"> have not yet settled, at </w:t>
      </w:r>
      <w:proofErr w:type="gramStart"/>
      <w:r w:rsidRPr="00185602">
        <w:rPr>
          <w:rFonts w:ascii="Calibri" w:hAnsi="Calibri" w:cs="Calibri"/>
        </w:rPr>
        <w:t>low cost</w:t>
      </w:r>
      <w:proofErr w:type="gramEnd"/>
      <w:r w:rsidRPr="00185602">
        <w:rPr>
          <w:rFonts w:ascii="Calibri" w:hAnsi="Calibri" w:cs="Calibri"/>
        </w:rPr>
        <w:t xml:space="preserve"> relative to product investment.</w:t>
      </w:r>
    </w:p>
    <w:p w14:paraId="6385047D" w14:textId="609E6DFC" w:rsidR="006E5C33" w:rsidRPr="001D4606" w:rsidRDefault="006E5C33" w:rsidP="00185602">
      <w:pPr>
        <w:pStyle w:val="font-claude-response-body"/>
        <w:rPr>
          <w:sz w:val="28"/>
          <w:szCs w:val="28"/>
        </w:rPr>
      </w:pPr>
      <w:r w:rsidRPr="001D4606">
        <w:rPr>
          <w:rFonts w:ascii="Calibri" w:hAnsi="Calibri" w:cs="Calibri"/>
          <w:b/>
          <w:bCs/>
          <w:sz w:val="28"/>
          <w:szCs w:val="28"/>
        </w:rPr>
        <w:t>5. Proof of Concept</w:t>
      </w:r>
    </w:p>
    <w:p w14:paraId="57B9E379" w14:textId="4CA64FB7" w:rsidR="00176AA7" w:rsidRPr="00573BD2" w:rsidRDefault="00176AA7" w:rsidP="00176AA7">
      <w:pPr>
        <w:pStyle w:val="font-claude-response-body"/>
        <w:rPr>
          <w:rFonts w:ascii="Calibri" w:hAnsi="Calibri" w:cs="Calibri"/>
        </w:rPr>
      </w:pPr>
      <w:r w:rsidRPr="00573BD2">
        <w:rPr>
          <w:rStyle w:val="animatingyu34g10"/>
          <w:rFonts w:ascii="Calibri" w:hAnsi="Calibri" w:cs="Calibri"/>
        </w:rPr>
        <w:t>The accompanying proof of concept demonstrates the core feasibility claim behind Option 1: that an agent can review a claim, ground its judgment in written policy, and produce an auditable decision. A single AI agent reviews a set of synthetic insurance claims, built with real CPT and ICD-10 code vocabulary and seeded with known billing problems</w:t>
      </w:r>
      <w:r w:rsidR="00573BD2">
        <w:rPr>
          <w:rStyle w:val="animatingyu34g10"/>
          <w:rFonts w:ascii="Calibri" w:hAnsi="Calibri" w:cs="Calibri"/>
        </w:rPr>
        <w:t>,</w:t>
      </w:r>
      <w:r w:rsidRPr="00573BD2">
        <w:rPr>
          <w:rStyle w:val="animatingyu34g10"/>
          <w:rFonts w:ascii="Calibri" w:hAnsi="Calibri" w:cs="Calibri"/>
        </w:rPr>
        <w:t xml:space="preserve"> duplicate submissions, upcoding, excessive units, and clinically implausible code combinations. Synthetic data was used deliberately: because real claims are protected health information, generating the test set keeps the demonstration compliant while preserving realistic billing patterns. For each claim, the agent retrieves the relevant public CMS billing-policy language, reasons step-by-step about whether the claim is payable under that policy, and outputs a structured decision — approve, flag, or escalate with a cited justification quoting the specific policy line it relied on.</w:t>
      </w:r>
    </w:p>
    <w:p w14:paraId="1158787E" w14:textId="248D67A1" w:rsidR="00176AA7" w:rsidRPr="00573BD2" w:rsidRDefault="00176AA7" w:rsidP="00176AA7">
      <w:pPr>
        <w:pStyle w:val="font-claude-response-body"/>
        <w:rPr>
          <w:rFonts w:ascii="Calibri" w:hAnsi="Calibri" w:cs="Calibri"/>
        </w:rPr>
      </w:pPr>
      <w:r w:rsidRPr="00573BD2">
        <w:rPr>
          <w:rStyle w:val="animatingyu34g10"/>
          <w:rFonts w:ascii="Calibri" w:hAnsi="Calibri" w:cs="Calibri"/>
        </w:rPr>
        <w:t xml:space="preserve">Every decision and its full reasoning trace is written to an audit log, demonstrating in miniature the auditable-by-design principle of Option 2. Evaluated against the seeded ground truth, the agent caught every planted anomaly while leaving clean claims </w:t>
      </w:r>
      <w:r w:rsidR="00573BD2" w:rsidRPr="00573BD2">
        <w:rPr>
          <w:rStyle w:val="animatingyu34g10"/>
          <w:rFonts w:ascii="Calibri" w:hAnsi="Calibri" w:cs="Calibri"/>
        </w:rPr>
        <w:t>approved and</w:t>
      </w:r>
      <w:r w:rsidRPr="00573BD2">
        <w:rPr>
          <w:rStyle w:val="animatingyu34g10"/>
          <w:rFonts w:ascii="Calibri" w:hAnsi="Calibri" w:cs="Calibri"/>
        </w:rPr>
        <w:t xml:space="preserve"> correctly routed genuinely ambiguous cases to human review illustrating the assistive, human-in-the-loop posture the strategy depends on. Notably, approval is the only fully autonomous outcome; every flag and escalation routes to a human reviewer, mirroring the autonomy boundary proposed in Option 3. The prototype is deliberately simple, prioritizing a clear demonstration of the core mechanism retrieval-grounded reasoning with an audit trail over architectural complexity</w:t>
      </w:r>
      <w:r w:rsidR="00573BD2">
        <w:rPr>
          <w:rStyle w:val="animatingyu34g10"/>
          <w:rFonts w:ascii="Calibri" w:hAnsi="Calibri" w:cs="Calibri"/>
        </w:rPr>
        <w:t>.</w:t>
      </w:r>
    </w:p>
    <w:p w14:paraId="58CD10D2" w14:textId="030C72E9" w:rsidR="00BC1B73" w:rsidRPr="00BC1B73" w:rsidRDefault="00BC1B73" w:rsidP="00BC1B7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C1B73">
        <w:rPr>
          <w:rFonts w:ascii="Times New Roman" w:eastAsia="Times New Roman" w:hAnsi="Times New Roman" w:cs="Times New Roman"/>
          <w:b/>
          <w:bCs/>
          <w:kern w:val="0"/>
          <w:sz w:val="36"/>
          <w:szCs w:val="36"/>
          <w14:ligatures w14:val="none"/>
        </w:rPr>
        <w:lastRenderedPageBreak/>
        <w:t xml:space="preserve">Bibliography </w:t>
      </w:r>
    </w:p>
    <w:p w14:paraId="4E0B2067" w14:textId="77777777" w:rsidR="00BC1B73" w:rsidRPr="00BC1B73" w:rsidRDefault="00BC1B73" w:rsidP="00BC1B73">
      <w:pPr>
        <w:spacing w:before="100" w:beforeAutospacing="1" w:after="100" w:afterAutospacing="1" w:line="240" w:lineRule="auto"/>
        <w:rPr>
          <w:rFonts w:ascii="Times New Roman" w:eastAsia="Times New Roman" w:hAnsi="Times New Roman" w:cs="Times New Roman"/>
          <w:kern w:val="0"/>
          <w14:ligatures w14:val="none"/>
        </w:rPr>
      </w:pPr>
      <w:r w:rsidRPr="00BC1B73">
        <w:rPr>
          <w:rFonts w:ascii="Times New Roman" w:eastAsia="Times New Roman" w:hAnsi="Times New Roman" w:cs="Times New Roman"/>
          <w:kern w:val="0"/>
          <w14:ligatures w14:val="none"/>
        </w:rPr>
        <w:t xml:space="preserve">Federal News Network. (2026, March 12). </w:t>
      </w:r>
      <w:r w:rsidRPr="00BC1B73">
        <w:rPr>
          <w:rFonts w:ascii="Times New Roman" w:eastAsia="Times New Roman" w:hAnsi="Times New Roman" w:cs="Times New Roman"/>
          <w:i/>
          <w:iCs/>
          <w:kern w:val="0"/>
          <w14:ligatures w14:val="none"/>
        </w:rPr>
        <w:t>CMS's two-pronged approach to crushing fraud, waste, abuse.</w:t>
      </w:r>
      <w:r w:rsidRPr="00BC1B73">
        <w:rPr>
          <w:rFonts w:ascii="Times New Roman" w:eastAsia="Times New Roman" w:hAnsi="Times New Roman" w:cs="Times New Roman"/>
          <w:kern w:val="0"/>
          <w14:ligatures w14:val="none"/>
        </w:rPr>
        <w:t xml:space="preserve"> </w:t>
      </w:r>
      <w:hyperlink r:id="rId6" w:history="1">
        <w:r w:rsidRPr="00BC1B73">
          <w:rPr>
            <w:rFonts w:ascii="Times New Roman" w:eastAsia="Times New Roman" w:hAnsi="Times New Roman" w:cs="Times New Roman"/>
            <w:color w:val="0000FF"/>
            <w:kern w:val="0"/>
            <w:u w:val="single"/>
            <w14:ligatures w14:val="none"/>
          </w:rPr>
          <w:t>https://federalnewsnetwork.com/artificial-intelligence/2026/03/cmss-two-pronged-approach-to-crushing-fraud-waste-abuse/</w:t>
        </w:r>
      </w:hyperlink>
    </w:p>
    <w:p w14:paraId="1BE700A3" w14:textId="77777777" w:rsidR="00BC1B73" w:rsidRPr="00BC1B73" w:rsidRDefault="00BC1B73" w:rsidP="00BC1B7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C1B73">
        <w:rPr>
          <w:rFonts w:ascii="Times New Roman" w:eastAsia="Times New Roman" w:hAnsi="Times New Roman" w:cs="Times New Roman"/>
          <w:kern w:val="0"/>
          <w14:ligatures w14:val="none"/>
        </w:rPr>
        <w:t>HealthVerity</w:t>
      </w:r>
      <w:proofErr w:type="spellEnd"/>
      <w:r w:rsidRPr="00BC1B73">
        <w:rPr>
          <w:rFonts w:ascii="Times New Roman" w:eastAsia="Times New Roman" w:hAnsi="Times New Roman" w:cs="Times New Roman"/>
          <w:kern w:val="0"/>
          <w14:ligatures w14:val="none"/>
        </w:rPr>
        <w:t xml:space="preserve">. (2025, December 29). </w:t>
      </w:r>
      <w:r w:rsidRPr="00BC1B73">
        <w:rPr>
          <w:rFonts w:ascii="Times New Roman" w:eastAsia="Times New Roman" w:hAnsi="Times New Roman" w:cs="Times New Roman"/>
          <w:i/>
          <w:iCs/>
          <w:kern w:val="0"/>
          <w14:ligatures w14:val="none"/>
        </w:rPr>
        <w:t>AI trends shaping healthcare in 2026: Agentic, physical &amp; sovereign AI.</w:t>
      </w:r>
      <w:r w:rsidRPr="00BC1B73">
        <w:rPr>
          <w:rFonts w:ascii="Times New Roman" w:eastAsia="Times New Roman" w:hAnsi="Times New Roman" w:cs="Times New Roman"/>
          <w:kern w:val="0"/>
          <w14:ligatures w14:val="none"/>
        </w:rPr>
        <w:t xml:space="preserve"> </w:t>
      </w:r>
      <w:hyperlink r:id="rId7" w:history="1">
        <w:r w:rsidRPr="00BC1B73">
          <w:rPr>
            <w:rFonts w:ascii="Times New Roman" w:eastAsia="Times New Roman" w:hAnsi="Times New Roman" w:cs="Times New Roman"/>
            <w:color w:val="0000FF"/>
            <w:kern w:val="0"/>
            <w:u w:val="single"/>
            <w14:ligatures w14:val="none"/>
          </w:rPr>
          <w:t>https://blog.healthverity.com/ai-trends-shaping-healthcare-in-2026-agentic-physical-sovereign-ai</w:t>
        </w:r>
      </w:hyperlink>
    </w:p>
    <w:p w14:paraId="70667994" w14:textId="77777777" w:rsidR="00BC1B73" w:rsidRPr="00BC1B73" w:rsidRDefault="00BC1B73" w:rsidP="00BC1B73">
      <w:pPr>
        <w:spacing w:before="100" w:beforeAutospacing="1" w:after="100" w:afterAutospacing="1" w:line="240" w:lineRule="auto"/>
        <w:rPr>
          <w:rFonts w:ascii="Times New Roman" w:eastAsia="Times New Roman" w:hAnsi="Times New Roman" w:cs="Times New Roman"/>
          <w:kern w:val="0"/>
          <w14:ligatures w14:val="none"/>
        </w:rPr>
      </w:pPr>
      <w:r w:rsidRPr="00BC1B73">
        <w:rPr>
          <w:rFonts w:ascii="Times New Roman" w:eastAsia="Times New Roman" w:hAnsi="Times New Roman" w:cs="Times New Roman"/>
          <w:kern w:val="0"/>
          <w14:ligatures w14:val="none"/>
        </w:rPr>
        <w:t xml:space="preserve">Jimerson Birr. (2026, February). </w:t>
      </w:r>
      <w:r w:rsidRPr="00BC1B73">
        <w:rPr>
          <w:rFonts w:ascii="Times New Roman" w:eastAsia="Times New Roman" w:hAnsi="Times New Roman" w:cs="Times New Roman"/>
          <w:i/>
          <w:iCs/>
          <w:kern w:val="0"/>
          <w14:ligatures w14:val="none"/>
        </w:rPr>
        <w:t>Healthcare AI regulation 2026: New compliance requirements every provider must know.</w:t>
      </w:r>
      <w:r w:rsidRPr="00BC1B73">
        <w:rPr>
          <w:rFonts w:ascii="Times New Roman" w:eastAsia="Times New Roman" w:hAnsi="Times New Roman" w:cs="Times New Roman"/>
          <w:kern w:val="0"/>
          <w14:ligatures w14:val="none"/>
        </w:rPr>
        <w:t xml:space="preserve"> </w:t>
      </w:r>
      <w:hyperlink r:id="rId8" w:history="1">
        <w:r w:rsidRPr="00BC1B73">
          <w:rPr>
            <w:rFonts w:ascii="Times New Roman" w:eastAsia="Times New Roman" w:hAnsi="Times New Roman" w:cs="Times New Roman"/>
            <w:color w:val="0000FF"/>
            <w:kern w:val="0"/>
            <w:u w:val="single"/>
            <w14:ligatures w14:val="none"/>
          </w:rPr>
          <w:t>https://www.jimersonfirm.com/blog/2026/02/healthcare-ai-regulation-2025-new-compliance-requirements-every-provider-must-know/</w:t>
        </w:r>
      </w:hyperlink>
    </w:p>
    <w:p w14:paraId="26531927" w14:textId="77777777" w:rsidR="00BC1B73" w:rsidRPr="00BC1B73" w:rsidRDefault="00BC1B73" w:rsidP="00BC1B73">
      <w:pPr>
        <w:spacing w:before="100" w:beforeAutospacing="1" w:after="100" w:afterAutospacing="1" w:line="240" w:lineRule="auto"/>
        <w:rPr>
          <w:rFonts w:ascii="Times New Roman" w:eastAsia="Times New Roman" w:hAnsi="Times New Roman" w:cs="Times New Roman"/>
          <w:kern w:val="0"/>
          <w14:ligatures w14:val="none"/>
        </w:rPr>
      </w:pPr>
      <w:r w:rsidRPr="00BC1B73">
        <w:rPr>
          <w:rFonts w:ascii="Times New Roman" w:eastAsia="Times New Roman" w:hAnsi="Times New Roman" w:cs="Times New Roman"/>
          <w:kern w:val="0"/>
          <w14:ligatures w14:val="none"/>
        </w:rPr>
        <w:t xml:space="preserve">Philips. (2026, April 30). </w:t>
      </w:r>
      <w:r w:rsidRPr="00BC1B73">
        <w:rPr>
          <w:rFonts w:ascii="Times New Roman" w:eastAsia="Times New Roman" w:hAnsi="Times New Roman" w:cs="Times New Roman"/>
          <w:i/>
          <w:iCs/>
          <w:kern w:val="0"/>
          <w14:ligatures w14:val="none"/>
        </w:rPr>
        <w:t>Emerging healthcare AI trends in 2026 so far.</w:t>
      </w:r>
      <w:r w:rsidRPr="00BC1B73">
        <w:rPr>
          <w:rFonts w:ascii="Times New Roman" w:eastAsia="Times New Roman" w:hAnsi="Times New Roman" w:cs="Times New Roman"/>
          <w:kern w:val="0"/>
          <w14:ligatures w14:val="none"/>
        </w:rPr>
        <w:t xml:space="preserve"> </w:t>
      </w:r>
      <w:hyperlink r:id="rId9" w:history="1">
        <w:r w:rsidRPr="00BC1B73">
          <w:rPr>
            <w:rFonts w:ascii="Times New Roman" w:eastAsia="Times New Roman" w:hAnsi="Times New Roman" w:cs="Times New Roman"/>
            <w:color w:val="0000FF"/>
            <w:kern w:val="0"/>
            <w:u w:val="single"/>
            <w14:ligatures w14:val="none"/>
          </w:rPr>
          <w:t>https://www.philips.com/a-w/about/news/archive/features/2026/this-years-emerging-trends-in-healthcare-ai-so-far.html</w:t>
        </w:r>
      </w:hyperlink>
    </w:p>
    <w:p w14:paraId="5CF8C6B5" w14:textId="77777777" w:rsidR="00BC1B73" w:rsidRPr="00BC1B73" w:rsidRDefault="00BC1B73" w:rsidP="00BC1B73">
      <w:pPr>
        <w:spacing w:before="100" w:beforeAutospacing="1" w:after="100" w:afterAutospacing="1" w:line="240" w:lineRule="auto"/>
        <w:rPr>
          <w:rFonts w:ascii="Times New Roman" w:eastAsia="Times New Roman" w:hAnsi="Times New Roman" w:cs="Times New Roman"/>
          <w:kern w:val="0"/>
          <w14:ligatures w14:val="none"/>
        </w:rPr>
      </w:pPr>
      <w:r w:rsidRPr="00BC1B73">
        <w:rPr>
          <w:rFonts w:ascii="Times New Roman" w:eastAsia="Times New Roman" w:hAnsi="Times New Roman" w:cs="Times New Roman"/>
          <w:kern w:val="0"/>
          <w14:ligatures w14:val="none"/>
        </w:rPr>
        <w:t xml:space="preserve">Lewis, P., Perez, E., </w:t>
      </w:r>
      <w:proofErr w:type="spellStart"/>
      <w:r w:rsidRPr="00BC1B73">
        <w:rPr>
          <w:rFonts w:ascii="Times New Roman" w:eastAsia="Times New Roman" w:hAnsi="Times New Roman" w:cs="Times New Roman"/>
          <w:kern w:val="0"/>
          <w14:ligatures w14:val="none"/>
        </w:rPr>
        <w:t>Piktus</w:t>
      </w:r>
      <w:proofErr w:type="spellEnd"/>
      <w:r w:rsidRPr="00BC1B73">
        <w:rPr>
          <w:rFonts w:ascii="Times New Roman" w:eastAsia="Times New Roman" w:hAnsi="Times New Roman" w:cs="Times New Roman"/>
          <w:kern w:val="0"/>
          <w14:ligatures w14:val="none"/>
        </w:rPr>
        <w:t xml:space="preserve">, A., Petroni, F., </w:t>
      </w:r>
      <w:proofErr w:type="spellStart"/>
      <w:r w:rsidRPr="00BC1B73">
        <w:rPr>
          <w:rFonts w:ascii="Times New Roman" w:eastAsia="Times New Roman" w:hAnsi="Times New Roman" w:cs="Times New Roman"/>
          <w:kern w:val="0"/>
          <w14:ligatures w14:val="none"/>
        </w:rPr>
        <w:t>Karpukhin</w:t>
      </w:r>
      <w:proofErr w:type="spellEnd"/>
      <w:r w:rsidRPr="00BC1B73">
        <w:rPr>
          <w:rFonts w:ascii="Times New Roman" w:eastAsia="Times New Roman" w:hAnsi="Times New Roman" w:cs="Times New Roman"/>
          <w:kern w:val="0"/>
          <w14:ligatures w14:val="none"/>
        </w:rPr>
        <w:t xml:space="preserve">, V., Goyal, N., ... Kiela, D. (2020). Retrieval-augmented generation for knowledge-intensive NLP tasks. </w:t>
      </w:r>
      <w:r w:rsidRPr="00BC1B73">
        <w:rPr>
          <w:rFonts w:ascii="Times New Roman" w:eastAsia="Times New Roman" w:hAnsi="Times New Roman" w:cs="Times New Roman"/>
          <w:i/>
          <w:iCs/>
          <w:kern w:val="0"/>
          <w14:ligatures w14:val="none"/>
        </w:rPr>
        <w:t>Advances in Neural Information Processing Systems, 33.</w:t>
      </w:r>
      <w:r w:rsidRPr="00BC1B73">
        <w:rPr>
          <w:rFonts w:ascii="Times New Roman" w:eastAsia="Times New Roman" w:hAnsi="Times New Roman" w:cs="Times New Roman"/>
          <w:kern w:val="0"/>
          <w14:ligatures w14:val="none"/>
        </w:rPr>
        <w:t xml:space="preserve"> </w:t>
      </w:r>
      <w:hyperlink r:id="rId10" w:history="1">
        <w:r w:rsidRPr="00BC1B73">
          <w:rPr>
            <w:rFonts w:ascii="Times New Roman" w:eastAsia="Times New Roman" w:hAnsi="Times New Roman" w:cs="Times New Roman"/>
            <w:color w:val="0000FF"/>
            <w:kern w:val="0"/>
            <w:u w:val="single"/>
            <w14:ligatures w14:val="none"/>
          </w:rPr>
          <w:t>https://arxiv.org</w:t>
        </w:r>
        <w:r w:rsidRPr="00BC1B73">
          <w:rPr>
            <w:rFonts w:ascii="Times New Roman" w:eastAsia="Times New Roman" w:hAnsi="Times New Roman" w:cs="Times New Roman"/>
            <w:color w:val="0000FF"/>
            <w:kern w:val="0"/>
            <w:u w:val="single"/>
            <w14:ligatures w14:val="none"/>
          </w:rPr>
          <w:t>/</w:t>
        </w:r>
        <w:r w:rsidRPr="00BC1B73">
          <w:rPr>
            <w:rFonts w:ascii="Times New Roman" w:eastAsia="Times New Roman" w:hAnsi="Times New Roman" w:cs="Times New Roman"/>
            <w:color w:val="0000FF"/>
            <w:kern w:val="0"/>
            <w:u w:val="single"/>
            <w14:ligatures w14:val="none"/>
          </w:rPr>
          <w:t>abs/2005.11401</w:t>
        </w:r>
      </w:hyperlink>
    </w:p>
    <w:p w14:paraId="4EEBE9EA" w14:textId="77777777" w:rsidR="00BC1B73" w:rsidRPr="00BC1B73" w:rsidRDefault="00BC1B73" w:rsidP="00BC1B73">
      <w:pPr>
        <w:spacing w:before="100" w:beforeAutospacing="1" w:after="100" w:afterAutospacing="1" w:line="240" w:lineRule="auto"/>
        <w:rPr>
          <w:rFonts w:ascii="Times New Roman" w:eastAsia="Times New Roman" w:hAnsi="Times New Roman" w:cs="Times New Roman"/>
          <w:kern w:val="0"/>
          <w14:ligatures w14:val="none"/>
        </w:rPr>
      </w:pPr>
      <w:r w:rsidRPr="00BC1B73">
        <w:rPr>
          <w:rFonts w:ascii="Times New Roman" w:eastAsia="Times New Roman" w:hAnsi="Times New Roman" w:cs="Times New Roman"/>
          <w:kern w:val="0"/>
          <w14:ligatures w14:val="none"/>
        </w:rPr>
        <w:t xml:space="preserve">Wang, W., Ma, Z., Wang, Z., Wu, C., Chen, W., Li, X., &amp; Yuan, Y. (2025). A survey of LLM-based agents in medicine: How far are we from Baymax? </w:t>
      </w:r>
      <w:proofErr w:type="spellStart"/>
      <w:r w:rsidRPr="00BC1B73">
        <w:rPr>
          <w:rFonts w:ascii="Times New Roman" w:eastAsia="Times New Roman" w:hAnsi="Times New Roman" w:cs="Times New Roman"/>
          <w:i/>
          <w:iCs/>
          <w:kern w:val="0"/>
          <w14:ligatures w14:val="none"/>
        </w:rPr>
        <w:t>arXiv</w:t>
      </w:r>
      <w:proofErr w:type="spellEnd"/>
      <w:r w:rsidRPr="00BC1B73">
        <w:rPr>
          <w:rFonts w:ascii="Times New Roman" w:eastAsia="Times New Roman" w:hAnsi="Times New Roman" w:cs="Times New Roman"/>
          <w:i/>
          <w:iCs/>
          <w:kern w:val="0"/>
          <w14:ligatures w14:val="none"/>
        </w:rPr>
        <w:t>.</w:t>
      </w:r>
      <w:r w:rsidRPr="00BC1B73">
        <w:rPr>
          <w:rFonts w:ascii="Times New Roman" w:eastAsia="Times New Roman" w:hAnsi="Times New Roman" w:cs="Times New Roman"/>
          <w:kern w:val="0"/>
          <w14:ligatures w14:val="none"/>
        </w:rPr>
        <w:t xml:space="preserve"> </w:t>
      </w:r>
      <w:hyperlink r:id="rId11" w:history="1">
        <w:r w:rsidRPr="00BC1B73">
          <w:rPr>
            <w:rFonts w:ascii="Times New Roman" w:eastAsia="Times New Roman" w:hAnsi="Times New Roman" w:cs="Times New Roman"/>
            <w:color w:val="0000FF"/>
            <w:kern w:val="0"/>
            <w:u w:val="single"/>
            <w14:ligatures w14:val="none"/>
          </w:rPr>
          <w:t>https://arxiv.org/abs/2502.</w:t>
        </w:r>
        <w:r w:rsidRPr="00BC1B73">
          <w:rPr>
            <w:rFonts w:ascii="Times New Roman" w:eastAsia="Times New Roman" w:hAnsi="Times New Roman" w:cs="Times New Roman"/>
            <w:color w:val="0000FF"/>
            <w:kern w:val="0"/>
            <w:u w:val="single"/>
            <w14:ligatures w14:val="none"/>
          </w:rPr>
          <w:t>1</w:t>
        </w:r>
        <w:r w:rsidRPr="00BC1B73">
          <w:rPr>
            <w:rFonts w:ascii="Times New Roman" w:eastAsia="Times New Roman" w:hAnsi="Times New Roman" w:cs="Times New Roman"/>
            <w:color w:val="0000FF"/>
            <w:kern w:val="0"/>
            <w:u w:val="single"/>
            <w14:ligatures w14:val="none"/>
          </w:rPr>
          <w:t>1211</w:t>
        </w:r>
      </w:hyperlink>
    </w:p>
    <w:p w14:paraId="4B799FE2" w14:textId="77777777" w:rsidR="00BC1B73" w:rsidRPr="00BC1B73" w:rsidRDefault="00BC1B73" w:rsidP="00BC1B73">
      <w:pPr>
        <w:spacing w:before="100" w:beforeAutospacing="1" w:after="100" w:afterAutospacing="1" w:line="240" w:lineRule="auto"/>
        <w:rPr>
          <w:rFonts w:ascii="Times New Roman" w:eastAsia="Times New Roman" w:hAnsi="Times New Roman" w:cs="Times New Roman"/>
          <w:kern w:val="0"/>
          <w14:ligatures w14:val="none"/>
        </w:rPr>
      </w:pPr>
      <w:r w:rsidRPr="00BC1B73">
        <w:rPr>
          <w:rFonts w:ascii="Times New Roman" w:eastAsia="Times New Roman" w:hAnsi="Times New Roman" w:cs="Times New Roman"/>
          <w:kern w:val="0"/>
          <w14:ligatures w14:val="none"/>
        </w:rPr>
        <w:t xml:space="preserve">Wei, J., Wang, X., Schuurmans, D., Bosma, M., </w:t>
      </w:r>
      <w:proofErr w:type="spellStart"/>
      <w:r w:rsidRPr="00BC1B73">
        <w:rPr>
          <w:rFonts w:ascii="Times New Roman" w:eastAsia="Times New Roman" w:hAnsi="Times New Roman" w:cs="Times New Roman"/>
          <w:kern w:val="0"/>
          <w14:ligatures w14:val="none"/>
        </w:rPr>
        <w:t>Ichter</w:t>
      </w:r>
      <w:proofErr w:type="spellEnd"/>
      <w:r w:rsidRPr="00BC1B73">
        <w:rPr>
          <w:rFonts w:ascii="Times New Roman" w:eastAsia="Times New Roman" w:hAnsi="Times New Roman" w:cs="Times New Roman"/>
          <w:kern w:val="0"/>
          <w14:ligatures w14:val="none"/>
        </w:rPr>
        <w:t xml:space="preserve">, B., Xia, F., ... Zhou, D. (2022). Chain-of-thought prompting elicits reasoning in large language models. </w:t>
      </w:r>
      <w:r w:rsidRPr="00BC1B73">
        <w:rPr>
          <w:rFonts w:ascii="Times New Roman" w:eastAsia="Times New Roman" w:hAnsi="Times New Roman" w:cs="Times New Roman"/>
          <w:i/>
          <w:iCs/>
          <w:kern w:val="0"/>
          <w14:ligatures w14:val="none"/>
        </w:rPr>
        <w:t>Advances in Neural Information Processing Systems, 35.</w:t>
      </w:r>
      <w:r w:rsidRPr="00BC1B73">
        <w:rPr>
          <w:rFonts w:ascii="Times New Roman" w:eastAsia="Times New Roman" w:hAnsi="Times New Roman" w:cs="Times New Roman"/>
          <w:kern w:val="0"/>
          <w14:ligatures w14:val="none"/>
        </w:rPr>
        <w:t xml:space="preserve"> </w:t>
      </w:r>
      <w:hyperlink r:id="rId12" w:history="1">
        <w:r w:rsidRPr="00BC1B73">
          <w:rPr>
            <w:rFonts w:ascii="Times New Roman" w:eastAsia="Times New Roman" w:hAnsi="Times New Roman" w:cs="Times New Roman"/>
            <w:color w:val="0000FF"/>
            <w:kern w:val="0"/>
            <w:u w:val="single"/>
            <w14:ligatures w14:val="none"/>
          </w:rPr>
          <w:t>https://arxiv.org/abs/22</w:t>
        </w:r>
        <w:r w:rsidRPr="00BC1B73">
          <w:rPr>
            <w:rFonts w:ascii="Times New Roman" w:eastAsia="Times New Roman" w:hAnsi="Times New Roman" w:cs="Times New Roman"/>
            <w:color w:val="0000FF"/>
            <w:kern w:val="0"/>
            <w:u w:val="single"/>
            <w14:ligatures w14:val="none"/>
          </w:rPr>
          <w:t>0</w:t>
        </w:r>
        <w:r w:rsidRPr="00BC1B73">
          <w:rPr>
            <w:rFonts w:ascii="Times New Roman" w:eastAsia="Times New Roman" w:hAnsi="Times New Roman" w:cs="Times New Roman"/>
            <w:color w:val="0000FF"/>
            <w:kern w:val="0"/>
            <w:u w:val="single"/>
            <w14:ligatures w14:val="none"/>
          </w:rPr>
          <w:t>1.11903</w:t>
        </w:r>
      </w:hyperlink>
    </w:p>
    <w:p w14:paraId="13F76DD5" w14:textId="77777777" w:rsidR="00BC1B73" w:rsidRPr="00BC1B73" w:rsidRDefault="00BC1B73" w:rsidP="00BC1B73">
      <w:pPr>
        <w:spacing w:before="100" w:beforeAutospacing="1" w:after="100" w:afterAutospacing="1" w:line="240" w:lineRule="auto"/>
        <w:rPr>
          <w:rFonts w:ascii="Times New Roman" w:eastAsia="Times New Roman" w:hAnsi="Times New Roman" w:cs="Times New Roman"/>
          <w:kern w:val="0"/>
          <w14:ligatures w14:val="none"/>
        </w:rPr>
      </w:pPr>
      <w:r w:rsidRPr="00BC1B73">
        <w:rPr>
          <w:rFonts w:ascii="Times New Roman" w:eastAsia="Times New Roman" w:hAnsi="Times New Roman" w:cs="Times New Roman"/>
          <w:kern w:val="0"/>
          <w14:ligatures w14:val="none"/>
        </w:rPr>
        <w:t xml:space="preserve">Yao, S., Zhao, J., Yu, D., Du, N., Shafran, I., Narasimhan, K., &amp; Cao, Y. (2023). </w:t>
      </w:r>
      <w:proofErr w:type="spellStart"/>
      <w:r w:rsidRPr="00BC1B73">
        <w:rPr>
          <w:rFonts w:ascii="Times New Roman" w:eastAsia="Times New Roman" w:hAnsi="Times New Roman" w:cs="Times New Roman"/>
          <w:kern w:val="0"/>
          <w14:ligatures w14:val="none"/>
        </w:rPr>
        <w:t>ReAct</w:t>
      </w:r>
      <w:proofErr w:type="spellEnd"/>
      <w:r w:rsidRPr="00BC1B73">
        <w:rPr>
          <w:rFonts w:ascii="Times New Roman" w:eastAsia="Times New Roman" w:hAnsi="Times New Roman" w:cs="Times New Roman"/>
          <w:kern w:val="0"/>
          <w14:ligatures w14:val="none"/>
        </w:rPr>
        <w:t xml:space="preserve">: Synergizing reasoning and acting in language models. </w:t>
      </w:r>
      <w:r w:rsidRPr="00BC1B73">
        <w:rPr>
          <w:rFonts w:ascii="Times New Roman" w:eastAsia="Times New Roman" w:hAnsi="Times New Roman" w:cs="Times New Roman"/>
          <w:i/>
          <w:iCs/>
          <w:kern w:val="0"/>
          <w14:ligatures w14:val="none"/>
        </w:rPr>
        <w:t>International Conference on Learning Representations.</w:t>
      </w:r>
      <w:r w:rsidRPr="00BC1B73">
        <w:rPr>
          <w:rFonts w:ascii="Times New Roman" w:eastAsia="Times New Roman" w:hAnsi="Times New Roman" w:cs="Times New Roman"/>
          <w:kern w:val="0"/>
          <w14:ligatures w14:val="none"/>
        </w:rPr>
        <w:t xml:space="preserve"> </w:t>
      </w:r>
      <w:hyperlink r:id="rId13" w:history="1">
        <w:r w:rsidRPr="00BC1B73">
          <w:rPr>
            <w:rFonts w:ascii="Times New Roman" w:eastAsia="Times New Roman" w:hAnsi="Times New Roman" w:cs="Times New Roman"/>
            <w:color w:val="0000FF"/>
            <w:kern w:val="0"/>
            <w:u w:val="single"/>
            <w14:ligatures w14:val="none"/>
          </w:rPr>
          <w:t>https://arxiv.org/abs/2210.03629</w:t>
        </w:r>
      </w:hyperlink>
    </w:p>
    <w:p w14:paraId="7CE93FB7" w14:textId="0E6D0146" w:rsidR="006E5C33" w:rsidRDefault="005665C8" w:rsidP="00BC1B73">
      <w:pPr>
        <w:spacing w:before="100" w:beforeAutospacing="1" w:after="100" w:afterAutospacing="1" w:line="240" w:lineRule="auto"/>
      </w:pPr>
      <w:r>
        <w:t xml:space="preserve">Methods: </w:t>
      </w:r>
      <w:proofErr w:type="spellStart"/>
      <w:r w:rsidR="002B65C9">
        <w:t>s</w:t>
      </w:r>
      <w:r w:rsidR="003A0CE5">
        <w:t>This</w:t>
      </w:r>
      <w:proofErr w:type="spellEnd"/>
      <w:r w:rsidR="003A0CE5">
        <w:t xml:space="preserve"> submission was prepared using the following tools and </w:t>
      </w:r>
      <w:proofErr w:type="gramStart"/>
      <w:r w:rsidR="003A0CE5">
        <w:t>technologies</w:t>
      </w:r>
      <w:r w:rsidR="003A0CE5">
        <w:t xml:space="preserve"> </w:t>
      </w:r>
      <w:r w:rsidR="003A0CE5">
        <w:t xml:space="preserve"> AI</w:t>
      </w:r>
      <w:proofErr w:type="gramEnd"/>
      <w:r w:rsidR="003A0CE5">
        <w:t xml:space="preserve"> assistants: </w:t>
      </w:r>
      <w:proofErr w:type="spellStart"/>
      <w:r w:rsidR="003A0CE5">
        <w:t>Anthropic's</w:t>
      </w:r>
      <w:proofErr w:type="spellEnd"/>
      <w:r w:rsidR="003A0CE5">
        <w:t xml:space="preserve"> Claude (research synthesis, drafting assistance, and design iteration for the report and slides) and Claude Code</w:t>
      </w:r>
      <w:r w:rsidR="003A0CE5">
        <w:t>.</w:t>
      </w:r>
    </w:p>
    <w:p w14:paraId="646A67F2" w14:textId="2FE903A7" w:rsidR="003A0CE5" w:rsidRDefault="003A0CE5" w:rsidP="00BC1B73">
      <w:pPr>
        <w:spacing w:before="100" w:beforeAutospacing="1" w:after="100" w:afterAutospacing="1" w:line="240" w:lineRule="auto"/>
      </w:pPr>
      <w:r>
        <w:t xml:space="preserve">The proof of concept itself is built on the Anthropic API (Claude Sonnet) for agentic claim reasoning, implemented in Python with </w:t>
      </w:r>
      <w:proofErr w:type="spellStart"/>
      <w:r>
        <w:t>Streamlit</w:t>
      </w:r>
      <w:proofErr w:type="spellEnd"/>
      <w:r>
        <w:t xml:space="preserve"> for the results-viewer interface</w:t>
      </w:r>
      <w:r>
        <w:t>.</w:t>
      </w:r>
    </w:p>
    <w:p w14:paraId="76D78438" w14:textId="634110CF" w:rsidR="003A0CE5" w:rsidRDefault="003A0CE5" w:rsidP="00BC1B73">
      <w:pPr>
        <w:spacing w:before="100" w:beforeAutospacing="1" w:after="100" w:afterAutospacing="1" w:line="240" w:lineRule="auto"/>
      </w:pPr>
      <w:r>
        <w:t>Synthetic claims data was authored by the candidate with AI assistance, using real CPT and ICD-10-CM code vocabulary; no real patient data (PHI) was used. Policy excerpts are simplified illustrations modeled on public CMS billing-policy language.</w:t>
      </w:r>
    </w:p>
    <w:sectPr w:rsidR="003A0CE5" w:rsidSect="00C14C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F33AEF"/>
    <w:multiLevelType w:val="hybridMultilevel"/>
    <w:tmpl w:val="73585DF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E70D0E"/>
    <w:multiLevelType w:val="hybridMultilevel"/>
    <w:tmpl w:val="F8A688D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5EB469B2"/>
    <w:multiLevelType w:val="hybridMultilevel"/>
    <w:tmpl w:val="4ACA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C961500"/>
    <w:multiLevelType w:val="hybridMultilevel"/>
    <w:tmpl w:val="929E64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64495697">
    <w:abstractNumId w:val="2"/>
  </w:num>
  <w:num w:numId="2" w16cid:durableId="2044092992">
    <w:abstractNumId w:val="1"/>
  </w:num>
  <w:num w:numId="3" w16cid:durableId="343441359">
    <w:abstractNumId w:val="3"/>
  </w:num>
  <w:num w:numId="4" w16cid:durableId="143119769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C33"/>
    <w:rsid w:val="00176AA7"/>
    <w:rsid w:val="00185602"/>
    <w:rsid w:val="001D4606"/>
    <w:rsid w:val="002B3769"/>
    <w:rsid w:val="002B65C9"/>
    <w:rsid w:val="003A0CE5"/>
    <w:rsid w:val="00435B13"/>
    <w:rsid w:val="005665C8"/>
    <w:rsid w:val="00573BD2"/>
    <w:rsid w:val="006E5C33"/>
    <w:rsid w:val="007C163B"/>
    <w:rsid w:val="00BC1B73"/>
    <w:rsid w:val="00C14CEA"/>
    <w:rsid w:val="00C20FD8"/>
    <w:rsid w:val="00CB0E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A135D"/>
  <w15:chartTrackingRefBased/>
  <w15:docId w15:val="{ECA2021C-1EB0-184C-A976-92C1DB4BA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5C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5C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E5C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5C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5C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5C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5C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5C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5C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5C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5C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E5C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5C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5C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5C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5C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5C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5C33"/>
    <w:rPr>
      <w:rFonts w:eastAsiaTheme="majorEastAsia" w:cstheme="majorBidi"/>
      <w:color w:val="272727" w:themeColor="text1" w:themeTint="D8"/>
    </w:rPr>
  </w:style>
  <w:style w:type="paragraph" w:styleId="Title">
    <w:name w:val="Title"/>
    <w:basedOn w:val="Normal"/>
    <w:next w:val="Normal"/>
    <w:link w:val="TitleChar"/>
    <w:uiPriority w:val="10"/>
    <w:qFormat/>
    <w:rsid w:val="006E5C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5C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5C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5C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5C33"/>
    <w:pPr>
      <w:spacing w:before="160"/>
      <w:jc w:val="center"/>
    </w:pPr>
    <w:rPr>
      <w:i/>
      <w:iCs/>
      <w:color w:val="404040" w:themeColor="text1" w:themeTint="BF"/>
    </w:rPr>
  </w:style>
  <w:style w:type="character" w:customStyle="1" w:styleId="QuoteChar">
    <w:name w:val="Quote Char"/>
    <w:basedOn w:val="DefaultParagraphFont"/>
    <w:link w:val="Quote"/>
    <w:uiPriority w:val="29"/>
    <w:rsid w:val="006E5C33"/>
    <w:rPr>
      <w:i/>
      <w:iCs/>
      <w:color w:val="404040" w:themeColor="text1" w:themeTint="BF"/>
    </w:rPr>
  </w:style>
  <w:style w:type="paragraph" w:styleId="ListParagraph">
    <w:name w:val="List Paragraph"/>
    <w:basedOn w:val="Normal"/>
    <w:uiPriority w:val="34"/>
    <w:qFormat/>
    <w:rsid w:val="006E5C33"/>
    <w:pPr>
      <w:ind w:left="720"/>
      <w:contextualSpacing/>
    </w:pPr>
  </w:style>
  <w:style w:type="character" w:styleId="IntenseEmphasis">
    <w:name w:val="Intense Emphasis"/>
    <w:basedOn w:val="DefaultParagraphFont"/>
    <w:uiPriority w:val="21"/>
    <w:qFormat/>
    <w:rsid w:val="006E5C33"/>
    <w:rPr>
      <w:i/>
      <w:iCs/>
      <w:color w:val="0F4761" w:themeColor="accent1" w:themeShade="BF"/>
    </w:rPr>
  </w:style>
  <w:style w:type="paragraph" w:styleId="IntenseQuote">
    <w:name w:val="Intense Quote"/>
    <w:basedOn w:val="Normal"/>
    <w:next w:val="Normal"/>
    <w:link w:val="IntenseQuoteChar"/>
    <w:uiPriority w:val="30"/>
    <w:qFormat/>
    <w:rsid w:val="006E5C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5C33"/>
    <w:rPr>
      <w:i/>
      <w:iCs/>
      <w:color w:val="0F4761" w:themeColor="accent1" w:themeShade="BF"/>
    </w:rPr>
  </w:style>
  <w:style w:type="character" w:styleId="IntenseReference">
    <w:name w:val="Intense Reference"/>
    <w:basedOn w:val="DefaultParagraphFont"/>
    <w:uiPriority w:val="32"/>
    <w:qFormat/>
    <w:rsid w:val="006E5C33"/>
    <w:rPr>
      <w:b/>
      <w:bCs/>
      <w:smallCaps/>
      <w:color w:val="0F4761" w:themeColor="accent1" w:themeShade="BF"/>
      <w:spacing w:val="5"/>
    </w:rPr>
  </w:style>
  <w:style w:type="paragraph" w:customStyle="1" w:styleId="font-claude-response-body">
    <w:name w:val="font-claude-response-body"/>
    <w:basedOn w:val="Normal"/>
    <w:rsid w:val="006E5C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E5C33"/>
    <w:rPr>
      <w:b/>
      <w:bCs/>
    </w:rPr>
  </w:style>
  <w:style w:type="paragraph" w:styleId="NormalWeb">
    <w:name w:val="Normal (Web)"/>
    <w:basedOn w:val="Normal"/>
    <w:uiPriority w:val="99"/>
    <w:semiHidden/>
    <w:unhideWhenUsed/>
    <w:rsid w:val="006E5C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E5C33"/>
    <w:rPr>
      <w:i/>
      <w:iCs/>
    </w:rPr>
  </w:style>
  <w:style w:type="character" w:styleId="Hyperlink">
    <w:name w:val="Hyperlink"/>
    <w:basedOn w:val="DefaultParagraphFont"/>
    <w:uiPriority w:val="99"/>
    <w:semiHidden/>
    <w:unhideWhenUsed/>
    <w:rsid w:val="00BC1B73"/>
    <w:rPr>
      <w:color w:val="0000FF"/>
      <w:u w:val="single"/>
    </w:rPr>
  </w:style>
  <w:style w:type="character" w:customStyle="1" w:styleId="animatingyu34g10">
    <w:name w:val="_animating_yu34g_10"/>
    <w:basedOn w:val="DefaultParagraphFont"/>
    <w:rsid w:val="001D46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imersonfirm.com/blog/2026/02/healthcare-ai-regulation-2025-new-compliance-requirements-every-provider-must-know/" TargetMode="External"/><Relationship Id="rId13" Type="http://schemas.openxmlformats.org/officeDocument/2006/relationships/hyperlink" Target="https://arxiv.org/abs/2210.03629" TargetMode="External"/><Relationship Id="rId3" Type="http://schemas.openxmlformats.org/officeDocument/2006/relationships/styles" Target="styles.xml"/><Relationship Id="rId7" Type="http://schemas.openxmlformats.org/officeDocument/2006/relationships/hyperlink" Target="https://blog.healthverity.com/ai-trends-shaping-healthcare-in-2026-agentic-physical-sovereign-ai" TargetMode="External"/><Relationship Id="rId12" Type="http://schemas.openxmlformats.org/officeDocument/2006/relationships/hyperlink" Target="https://arxiv.org/abs/2201.1190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ederalnewsnetwork.com/artificial-intelligence/2026/03/cmss-two-pronged-approach-to-crushing-fraud-waste-abuse/" TargetMode="External"/><Relationship Id="rId11" Type="http://schemas.openxmlformats.org/officeDocument/2006/relationships/hyperlink" Target="https://arxiv.org/abs/2502.11211"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arxiv.org/abs/2005.11401" TargetMode="External"/><Relationship Id="rId4" Type="http://schemas.openxmlformats.org/officeDocument/2006/relationships/settings" Target="settings.xml"/><Relationship Id="rId9" Type="http://schemas.openxmlformats.org/officeDocument/2006/relationships/hyperlink" Target="https://www.philips.com/a-w/about/news/archive/features/2026/this-years-emerging-trends-in-healthcare-ai-so-far.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5AC4A6-F04F-614A-BA1E-890F8133C9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693</TotalTime>
  <Pages>3</Pages>
  <Words>1280</Words>
  <Characters>7299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Bhanu kokkula</dc:creator>
  <cp:keywords/>
  <dc:description/>
  <cp:lastModifiedBy>Bhanu kokkula</cp:lastModifiedBy>
  <cp:revision>3</cp:revision>
  <dcterms:created xsi:type="dcterms:W3CDTF">2026-08-07T19:16:00Z</dcterms:created>
  <dcterms:modified xsi:type="dcterms:W3CDTF">2026-08-08T15:24:00Z</dcterms:modified>
</cp:coreProperties>
</file>