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F1F547" w14:textId="768532B4" w:rsidR="006E5C33" w:rsidRPr="006E5C33" w:rsidRDefault="006E5C33" w:rsidP="006E5C33">
      <w:pPr>
        <w:spacing w:before="100" w:beforeAutospacing="1" w:after="100" w:afterAutospacing="1" w:line="240" w:lineRule="auto"/>
        <w:outlineLvl w:val="0"/>
        <w:rPr>
          <w:rFonts w:ascii="Calibri" w:eastAsia="Times New Roman" w:hAnsi="Calibri" w:cs="Calibri"/>
          <w:b/>
          <w:bCs/>
          <w:kern w:val="36"/>
          <w:sz w:val="48"/>
          <w:szCs w:val="48"/>
          <w14:ligatures w14:val="none"/>
        </w:rPr>
      </w:pPr>
      <w:r w:rsidRPr="006E5C33">
        <w:rPr>
          <w:rFonts w:ascii="Calibri" w:eastAsia="Times New Roman" w:hAnsi="Calibri" w:cs="Calibri"/>
          <w:b/>
          <w:bCs/>
          <w:kern w:val="36"/>
          <w:sz w:val="48"/>
          <w:szCs w:val="48"/>
          <w14:ligatures w14:val="none"/>
        </w:rPr>
        <w:t>Agentic AI for Clinical Decision Making and Pattern Recognition in Healthcare Payment</w:t>
      </w:r>
    </w:p>
    <w:p w14:paraId="7A70007D" w14:textId="2E3B9475" w:rsidR="006E5C33" w:rsidRDefault="006E5C33" w:rsidP="006E5C33">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i/>
          <w:iCs/>
          <w:kern w:val="0"/>
          <w14:ligatures w14:val="none"/>
        </w:rPr>
        <w:t>Bhanuprasad kokkula</w:t>
      </w:r>
      <w:r w:rsidRPr="006E5C33">
        <w:rPr>
          <w:rFonts w:ascii="Calibri" w:eastAsia="Times New Roman" w:hAnsi="Calibri" w:cs="Calibri"/>
          <w:i/>
          <w:iCs/>
          <w:kern w:val="0"/>
          <w14:ligatures w14:val="none"/>
        </w:rPr>
        <w:t xml:space="preserve"> — </w:t>
      </w:r>
      <w:r>
        <w:rPr>
          <w:rFonts w:ascii="Calibri" w:eastAsia="Times New Roman" w:hAnsi="Calibri" w:cs="Calibri"/>
          <w:i/>
          <w:iCs/>
          <w:kern w:val="0"/>
          <w14:ligatures w14:val="none"/>
        </w:rPr>
        <w:t>Rutgers University</w:t>
      </w:r>
      <w:r w:rsidRPr="006E5C33">
        <w:rPr>
          <w:rFonts w:ascii="Calibri" w:eastAsia="Times New Roman" w:hAnsi="Calibri" w:cs="Calibri"/>
          <w:i/>
          <w:iCs/>
          <w:kern w:val="0"/>
          <w14:ligatures w14:val="none"/>
        </w:rPr>
        <w:t xml:space="preserve"> —</w:t>
      </w:r>
      <w:r w:rsidR="003A0CE5">
        <w:rPr>
          <w:rFonts w:ascii="Calibri" w:eastAsia="Times New Roman" w:hAnsi="Calibri" w:cs="Calibri"/>
          <w:i/>
          <w:iCs/>
          <w:kern w:val="0"/>
          <w14:ligatures w14:val="none"/>
        </w:rPr>
        <w:t xml:space="preserve"> Intern GenAI/Research/Agentic AI   </w:t>
      </w:r>
      <w:r w:rsidRPr="006E5C33">
        <w:rPr>
          <w:rFonts w:ascii="Calibri" w:eastAsia="Times New Roman" w:hAnsi="Calibri" w:cs="Calibri"/>
          <w:i/>
          <w:iCs/>
          <w:kern w:val="0"/>
          <w14:ligatures w14:val="none"/>
        </w:rPr>
        <w:t xml:space="preserve"> </w:t>
      </w:r>
      <w:r>
        <w:rPr>
          <w:rFonts w:ascii="Calibri" w:eastAsia="Times New Roman" w:hAnsi="Calibri" w:cs="Calibri"/>
          <w:i/>
          <w:iCs/>
          <w:kern w:val="0"/>
          <w14:ligatures w14:val="none"/>
        </w:rPr>
        <w:t>7</w:t>
      </w:r>
      <w:r w:rsidRPr="006E5C33">
        <w:rPr>
          <w:rFonts w:ascii="Calibri" w:eastAsia="Times New Roman" w:hAnsi="Calibri" w:cs="Calibri"/>
          <w:i/>
          <w:iCs/>
          <w:kern w:val="0"/>
          <w:vertAlign w:val="superscript"/>
          <w14:ligatures w14:val="none"/>
        </w:rPr>
        <w:t>th</w:t>
      </w:r>
      <w:r>
        <w:rPr>
          <w:rFonts w:ascii="Calibri" w:eastAsia="Times New Roman" w:hAnsi="Calibri" w:cs="Calibri"/>
          <w:i/>
          <w:iCs/>
          <w:kern w:val="0"/>
          <w14:ligatures w14:val="none"/>
        </w:rPr>
        <w:t xml:space="preserve"> august</w:t>
      </w:r>
      <w:r w:rsidRPr="006E5C33">
        <w:rPr>
          <w:rFonts w:ascii="Calibri" w:eastAsia="Times New Roman" w:hAnsi="Calibri" w:cs="Calibri"/>
          <w:kern w:val="0"/>
          <w14:ligatures w14:val="none"/>
        </w:rPr>
        <w:t xml:space="preserve"> </w:t>
      </w:r>
    </w:p>
    <w:p w14:paraId="495B81EE" w14:textId="0C999183"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i/>
          <w:iCs/>
          <w:kern w:val="0"/>
          <w14:ligatures w14:val="none"/>
        </w:rPr>
        <w:t>Topic: Clinical Decision Making and Pattern Recognition in Health Care</w:t>
      </w:r>
    </w:p>
    <w:p w14:paraId="569458D5" w14:textId="77777777" w:rsidR="006E5C33" w:rsidRPr="006E5C33" w:rsidRDefault="006E5C33" w:rsidP="006E5C33">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E5C33">
        <w:rPr>
          <w:rFonts w:ascii="Calibri" w:eastAsia="Times New Roman" w:hAnsi="Calibri" w:cs="Calibri"/>
          <w:b/>
          <w:bCs/>
          <w:kern w:val="0"/>
          <w:sz w:val="36"/>
          <w:szCs w:val="36"/>
          <w14:ligatures w14:val="none"/>
        </w:rPr>
        <w:t>1. Concept Definition</w:t>
      </w:r>
    </w:p>
    <w:p w14:paraId="1420C743" w14:textId="65862246"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kern w:val="0"/>
          <w14:ligatures w14:val="none"/>
        </w:rPr>
        <w:t>Agentic artificial intelligence refers to AI systems capable of autonomous, goal-directed behavior: rather than producing a single response to a single prompt, an agentic system plans a multi-step task, reasons through intermediate decisions (chain reasoning), invokes tools and data sources, and adapts its actions based on what it observes. This distinguishes it from conventional generative AI, which transforms one input into one output, and from classical machine learning, which classifies or predicts within a fixed pipeline. In healthcare, the natural domains for these capabilities are described by the HIPAA framework of Treatment, Payment, and Operations (TPO)</w:t>
      </w:r>
      <w:r w:rsidR="00CB0E82">
        <w:rPr>
          <w:rFonts w:ascii="Calibri" w:eastAsia="Times New Roman" w:hAnsi="Calibri" w:cs="Calibri"/>
          <w:kern w:val="0"/>
          <w14:ligatures w14:val="none"/>
        </w:rPr>
        <w:t>,</w:t>
      </w:r>
      <w:r w:rsidRPr="006E5C33">
        <w:rPr>
          <w:rFonts w:ascii="Calibri" w:eastAsia="Times New Roman" w:hAnsi="Calibri" w:cs="Calibri"/>
          <w:kern w:val="0"/>
          <w14:ligatures w14:val="none"/>
        </w:rPr>
        <w:t xml:space="preserve"> the permitted uses of protected health information. This report deliberately scopes its analysis to the payment domain. Payment is where pattern-recognition techniques</w:t>
      </w:r>
      <w:r w:rsidR="00CB0E82">
        <w:rPr>
          <w:rFonts w:ascii="Calibri" w:eastAsia="Times New Roman" w:hAnsi="Calibri" w:cs="Calibri"/>
          <w:kern w:val="0"/>
          <w14:ligatures w14:val="none"/>
        </w:rPr>
        <w:t xml:space="preserve"> such as</w:t>
      </w:r>
      <w:r w:rsidRPr="006E5C33">
        <w:rPr>
          <w:rFonts w:ascii="Calibri" w:eastAsia="Times New Roman" w:hAnsi="Calibri" w:cs="Calibri"/>
          <w:kern w:val="0"/>
          <w14:ligatures w14:val="none"/>
        </w:rPr>
        <w:t xml:space="preserve"> classification, inference, and anomaly detection</w:t>
      </w:r>
      <w:r w:rsidR="00CB0E82">
        <w:rPr>
          <w:rFonts w:ascii="Calibri" w:eastAsia="Times New Roman" w:hAnsi="Calibri" w:cs="Calibri"/>
          <w:kern w:val="0"/>
          <w14:ligatures w14:val="none"/>
        </w:rPr>
        <w:t xml:space="preserve"> </w:t>
      </w:r>
      <w:r w:rsidRPr="006E5C33">
        <w:rPr>
          <w:rFonts w:ascii="Calibri" w:eastAsia="Times New Roman" w:hAnsi="Calibri" w:cs="Calibri"/>
          <w:kern w:val="0"/>
          <w14:ligatures w14:val="none"/>
        </w:rPr>
        <w:t>already carry proven return on investment, where decisions are auditable against written policy rather than clinical judgment, and where Cotiviti's core business of payment integrity operates. It is therefore the domain where agentic AI can be piloted with the clearest value measurement and the most manageable risk profile.</w:t>
      </w:r>
    </w:p>
    <w:p w14:paraId="48890DB0" w14:textId="77777777" w:rsidR="006E5C33" w:rsidRPr="006E5C33" w:rsidRDefault="006E5C33" w:rsidP="006E5C33">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E5C33">
        <w:rPr>
          <w:rFonts w:ascii="Calibri" w:eastAsia="Times New Roman" w:hAnsi="Calibri" w:cs="Calibri"/>
          <w:b/>
          <w:bCs/>
          <w:kern w:val="0"/>
          <w:sz w:val="36"/>
          <w:szCs w:val="36"/>
          <w14:ligatures w14:val="none"/>
        </w:rPr>
        <w:t>2. Relevant Trends</w:t>
      </w:r>
    </w:p>
    <w:p w14:paraId="4CDEE331" w14:textId="051473AC"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From generative to agentic systems.</w:t>
      </w:r>
      <w:r w:rsidRPr="006E5C33">
        <w:rPr>
          <w:rFonts w:ascii="Calibri" w:eastAsia="Times New Roman" w:hAnsi="Calibri" w:cs="Calibri"/>
          <w:kern w:val="0"/>
          <w14:ligatures w14:val="none"/>
        </w:rPr>
        <w:t xml:space="preserve"> The industry focus is shifting from single-shot generative models to autonomous, multi-step agents. Major health systems including Mount Sinai and Mayo Clinic have begun deploying AI agents to streamline workflows and automate repetitive tasks, and the UK's NHS has launched a program for responsible deployment of agentic AI (Philips, 2026). At the same time, industry research indicates most agentic deployments remain in pilot phases, concentrated among larger, technology-forward organizations (</w:t>
      </w:r>
      <w:r w:rsidR="007C163B" w:rsidRPr="006E5C33">
        <w:rPr>
          <w:rFonts w:ascii="Calibri" w:eastAsia="Times New Roman" w:hAnsi="Calibri" w:cs="Calibri"/>
          <w:kern w:val="0"/>
          <w14:ligatures w14:val="none"/>
        </w:rPr>
        <w:t>Health Verity</w:t>
      </w:r>
      <w:r w:rsidRPr="006E5C33">
        <w:rPr>
          <w:rFonts w:ascii="Calibri" w:eastAsia="Times New Roman" w:hAnsi="Calibri" w:cs="Calibri"/>
          <w:kern w:val="0"/>
          <w14:ligatures w14:val="none"/>
        </w:rPr>
        <w:t>, 2025) meaning the competitive window to build capability is open now.</w:t>
      </w:r>
    </w:p>
    <w:p w14:paraId="1DBEA8DE" w14:textId="77777777"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The persistent scale of improper payments.</w:t>
      </w:r>
      <w:r w:rsidRPr="006E5C33">
        <w:rPr>
          <w:rFonts w:ascii="Calibri" w:eastAsia="Times New Roman" w:hAnsi="Calibri" w:cs="Calibri"/>
          <w:kern w:val="0"/>
          <w14:ligatures w14:val="none"/>
        </w:rPr>
        <w:t xml:space="preserve"> CMS estimated the FY2025 improper payment rate for traditional Medicare at 6.55 percent, or $28.8 billion, with Medicaid adding an estimated $37.4 billion (Federal News Network, 2026). GAO reported over $100 billion in combined Medicare and Medicaid improper payments for FY2023, representing 43 percent of the government-wide total (GAO, 2024). Notably, CMS itself is now applying AI tools to billing and claims analysis in its program-integrity efforts (Federal News Network, 2026). The problem payment-integrity vendors exist to solve remains enormous, and the tooling frontier is moving toward AI.</w:t>
      </w:r>
    </w:p>
    <w:p w14:paraId="36610CDD" w14:textId="77777777"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Formalization of AI governance.</w:t>
      </w:r>
      <w:r w:rsidRPr="006E5C33">
        <w:rPr>
          <w:rFonts w:ascii="Calibri" w:eastAsia="Times New Roman" w:hAnsi="Calibri" w:cs="Calibri"/>
          <w:kern w:val="0"/>
          <w14:ligatures w14:val="none"/>
        </w:rPr>
        <w:t xml:space="preserve"> Healthcare AI oversight is consolidating from principle to program. HHS released a department-wide Artificial Intelligence Strategy in December 2025 emphasizing governance and responsible use (Holland &amp; Knight, 2026), and the Joint Commission with the Coalition for Health AI has announced guidance playbooks and a voluntary AI certification program (Jimerson Birr, 2026). Organizations deploying autonomous AI in payment workflows will increasingly be expected to demonstrate documented oversight, human accountability, and auditability.</w:t>
      </w:r>
    </w:p>
    <w:p w14:paraId="44374750" w14:textId="77777777" w:rsidR="006E5C33" w:rsidRPr="006E5C33" w:rsidRDefault="006E5C33" w:rsidP="006E5C33">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E5C33">
        <w:rPr>
          <w:rFonts w:ascii="Calibri" w:eastAsia="Times New Roman" w:hAnsi="Calibri" w:cs="Calibri"/>
          <w:b/>
          <w:bCs/>
          <w:kern w:val="0"/>
          <w:sz w:val="36"/>
          <w:szCs w:val="36"/>
          <w14:ligatures w14:val="none"/>
        </w:rPr>
        <w:lastRenderedPageBreak/>
        <w:t>3. Opportunities and Threats</w:t>
      </w:r>
    </w:p>
    <w:p w14:paraId="17B7976A" w14:textId="12A39D32"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Opportunities.</w:t>
      </w:r>
      <w:r w:rsidRPr="006E5C33">
        <w:rPr>
          <w:rFonts w:ascii="Calibri" w:eastAsia="Times New Roman" w:hAnsi="Calibri" w:cs="Calibri"/>
          <w:kern w:val="0"/>
          <w14:ligatures w14:val="none"/>
        </w:rPr>
        <w:t xml:space="preserve"> Agentic systems offer capabilities that neither static rule engines nor classical ML models provide in claims review. They can apply contextual judgment across a claim's full history rather than evaluating isolated features; they can produce cited, human-readable justifications by retrieving the specific policy language that grounds each decision; and they can triage novel or ambiguous patterns that fall outside existing rules, routing them to human reviewers with reasoning attached. In fraud, waste, and abuse detection specifically, an agent that combines time-series anomaly detection with policy retrieval could shorten the path from "statistically unusual" to "explainably improper" the step that currently consumes expert reviewer time.</w:t>
      </w:r>
    </w:p>
    <w:p w14:paraId="79387EB1" w14:textId="0211EC64"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Threats.</w:t>
      </w:r>
      <w:r w:rsidRPr="006E5C33">
        <w:rPr>
          <w:rFonts w:ascii="Calibri" w:eastAsia="Times New Roman" w:hAnsi="Calibri" w:cs="Calibri"/>
          <w:kern w:val="0"/>
          <w14:ligatures w14:val="none"/>
        </w:rPr>
        <w:t xml:space="preserve"> The same autonomy creates risk. Hallucinated reasoning in a payment decision has direct financial and legal consequences; an agent's multi-step behavior is harder to audit than a deterministic rule; regulatory expectations are tightening while remaining fragmented across federal and state authorities; and over-automation of adverse determinations (denials, flags) invites both compliance exposure and provider abrasion. These threats do not argue against agentic AI they argue that governance, human-in-the-loop design, and decision logging must be built in from the first prototype, not retrofitted.</w:t>
      </w:r>
    </w:p>
    <w:p w14:paraId="07614D8E" w14:textId="77777777" w:rsidR="006E5C33" w:rsidRPr="006E5C33" w:rsidRDefault="006E5C33" w:rsidP="006E5C33">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E5C33">
        <w:rPr>
          <w:rFonts w:ascii="Calibri" w:eastAsia="Times New Roman" w:hAnsi="Calibri" w:cs="Calibri"/>
          <w:b/>
          <w:bCs/>
          <w:kern w:val="0"/>
          <w:sz w:val="36"/>
          <w:szCs w:val="36"/>
          <w14:ligatures w14:val="none"/>
        </w:rPr>
        <w:t>4. Strategic Options for Cotiviti</w:t>
      </w:r>
    </w:p>
    <w:p w14:paraId="3AE900CD" w14:textId="3C84ED44"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Option 1 — Pilot agent-assisted claims review inside existing payment-integrity workflows.</w:t>
      </w:r>
      <w:r w:rsidRPr="006E5C33">
        <w:rPr>
          <w:rFonts w:ascii="Calibri" w:eastAsia="Times New Roman" w:hAnsi="Calibri" w:cs="Calibri"/>
          <w:kern w:val="0"/>
          <w14:ligatures w14:val="none"/>
        </w:rPr>
        <w:t xml:space="preserve"> Deploy agents in a strictly assistive posture: the agent reads a flagged claim, retrieves the relevant policy language, drafts a reasoned recommendation with citations, and a human analyst makes the determination. This targets analyst throughput the practical bottleneck in payment integrity while keeping accountability human, and it generates the labeled reasoning data needed to evaluate fuller autonomy later.</w:t>
      </w:r>
    </w:p>
    <w:p w14:paraId="17D08580" w14:textId="77777777"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Option 2 — Invest in auditable-by-design agent infrastructure as a market differentiator.</w:t>
      </w:r>
      <w:r w:rsidRPr="006E5C33">
        <w:rPr>
          <w:rFonts w:ascii="Calibri" w:eastAsia="Times New Roman" w:hAnsi="Calibri" w:cs="Calibri"/>
          <w:kern w:val="0"/>
          <w14:ligatures w14:val="none"/>
        </w:rPr>
        <w:t xml:space="preserve"> Build the logging, reasoning-trace capture, and evaluation harness for agentic decisions as a first-class product capability, aligned with emerging frameworks such as the Joint Commission/CHAI guidance. As payers face growing scrutiny of AI-driven determinations, a vendor that can prove how every automated judgment was made converts governance from compliance cost into a selling point.</w:t>
      </w:r>
    </w:p>
    <w:p w14:paraId="359E4EDA" w14:textId="77777777"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b/>
          <w:bCs/>
          <w:kern w:val="0"/>
          <w14:ligatures w14:val="none"/>
        </w:rPr>
        <w:t>Option 3 — Take a public research position on autonomy boundaries in payment decisions.</w:t>
      </w:r>
      <w:r w:rsidRPr="006E5C33">
        <w:rPr>
          <w:rFonts w:ascii="Calibri" w:eastAsia="Times New Roman" w:hAnsi="Calibri" w:cs="Calibri"/>
          <w:kern w:val="0"/>
          <w14:ligatures w14:val="none"/>
        </w:rPr>
        <w:t xml:space="preserve"> Define and publish where agent autonomy is appropriate in payment workflows (e.g., enrichment and triage) versus where escalation to humans must be mandatory (e.g., final adverse determinations). This positions Cotiviti as a standards-shaper in a space regulators have not yet settled, at low cost relative to product investment.</w:t>
      </w:r>
    </w:p>
    <w:p w14:paraId="1543C263" w14:textId="77777777"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kern w:val="0"/>
          <w14:ligatures w14:val="none"/>
        </w:rPr>
        <w:t>These options are sequenced by commitment: Option 1 proves value, Option 2 productizes trust, Option 3 builds industry position.</w:t>
      </w:r>
    </w:p>
    <w:p w14:paraId="6385047D" w14:textId="77777777" w:rsidR="006E5C33" w:rsidRPr="006E5C33" w:rsidRDefault="006E5C33" w:rsidP="006E5C33">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6E5C33">
        <w:rPr>
          <w:rFonts w:ascii="Calibri" w:eastAsia="Times New Roman" w:hAnsi="Calibri" w:cs="Calibri"/>
          <w:b/>
          <w:bCs/>
          <w:kern w:val="0"/>
          <w:sz w:val="36"/>
          <w:szCs w:val="36"/>
          <w14:ligatures w14:val="none"/>
        </w:rPr>
        <w:t>5. Proof of Concept</w:t>
      </w:r>
    </w:p>
    <w:p w14:paraId="010A15EB" w14:textId="77777777" w:rsidR="006E5C33" w:rsidRPr="006E5C33" w:rsidRDefault="006E5C33" w:rsidP="006E5C33">
      <w:pPr>
        <w:spacing w:before="100" w:beforeAutospacing="1" w:after="100" w:afterAutospacing="1" w:line="240" w:lineRule="auto"/>
        <w:rPr>
          <w:rFonts w:ascii="Calibri" w:eastAsia="Times New Roman" w:hAnsi="Calibri" w:cs="Calibri"/>
          <w:kern w:val="0"/>
          <w14:ligatures w14:val="none"/>
        </w:rPr>
      </w:pPr>
      <w:r w:rsidRPr="006E5C33">
        <w:rPr>
          <w:rFonts w:ascii="Calibri" w:eastAsia="Times New Roman" w:hAnsi="Calibri" w:cs="Calibri"/>
          <w:kern w:val="0"/>
          <w14:ligatures w14:val="none"/>
        </w:rPr>
        <w:t>The accompanying proof of concept demonstrates the core feasibility claim behind Option 1. A single AI agent reviews synthetic insurance claims, reasons step-by-step about each one, retrieves the relevant public CMS billing-policy language to ground its judgment, and outputs a decision — approve, flag, or escalate — with a cited justification. Every decision and its full reasoning trace is written to an audit log, demonstrating in miniature the auditable-by-design principle of Option 2.</w:t>
      </w:r>
    </w:p>
    <w:p w14:paraId="7AF77810" w14:textId="77777777" w:rsidR="006E5C33" w:rsidRPr="006E5C33" w:rsidRDefault="00BC2072" w:rsidP="006E5C33">
      <w:pPr>
        <w:spacing w:after="0" w:line="240" w:lineRule="auto"/>
        <w:rPr>
          <w:rFonts w:ascii="Calibri" w:eastAsia="Times New Roman" w:hAnsi="Calibri" w:cs="Calibri"/>
          <w:kern w:val="0"/>
          <w14:ligatures w14:val="none"/>
        </w:rPr>
      </w:pPr>
      <w:r w:rsidRPr="00BC2072">
        <w:rPr>
          <w:rFonts w:ascii="Calibri" w:eastAsia="Times New Roman" w:hAnsi="Calibri" w:cs="Calibri"/>
          <w:noProof/>
          <w:kern w:val="0"/>
        </w:rPr>
        <w:pict w14:anchorId="786EF534">
          <v:rect id="_x0000_i1025" alt="" style="width:468pt;height:.05pt;mso-width-percent:0;mso-height-percent:0;mso-width-percent:0;mso-height-percent:0" o:hralign="center" o:hrstd="t" o:hr="t" fillcolor="#a0a0a0" stroked="f"/>
        </w:pict>
      </w:r>
    </w:p>
    <w:p w14:paraId="58CD10D2" w14:textId="1E273EAC" w:rsidR="00BC1B73" w:rsidRPr="00BC1B73" w:rsidRDefault="00BC1B73" w:rsidP="00BC1B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1B73">
        <w:rPr>
          <w:rFonts w:ascii="Times New Roman" w:eastAsia="Times New Roman" w:hAnsi="Times New Roman" w:cs="Times New Roman"/>
          <w:b/>
          <w:bCs/>
          <w:kern w:val="0"/>
          <w:sz w:val="36"/>
          <w:szCs w:val="36"/>
          <w14:ligatures w14:val="none"/>
        </w:rPr>
        <w:lastRenderedPageBreak/>
        <w:t xml:space="preserve">Bibliography </w:t>
      </w:r>
    </w:p>
    <w:p w14:paraId="4E0B2067"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Federal News Network. (2026, March 12). </w:t>
      </w:r>
      <w:r w:rsidRPr="00BC1B73">
        <w:rPr>
          <w:rFonts w:ascii="Times New Roman" w:eastAsia="Times New Roman" w:hAnsi="Times New Roman" w:cs="Times New Roman"/>
          <w:i/>
          <w:iCs/>
          <w:kern w:val="0"/>
          <w14:ligatures w14:val="none"/>
        </w:rPr>
        <w:t>CMS's two-pronged approach to crushing fraud, waste, abuse.</w:t>
      </w:r>
      <w:r w:rsidRPr="00BC1B73">
        <w:rPr>
          <w:rFonts w:ascii="Times New Roman" w:eastAsia="Times New Roman" w:hAnsi="Times New Roman" w:cs="Times New Roman"/>
          <w:kern w:val="0"/>
          <w14:ligatures w14:val="none"/>
        </w:rPr>
        <w:t xml:space="preserve"> </w:t>
      </w:r>
      <w:hyperlink r:id="rId4" w:history="1">
        <w:r w:rsidRPr="00BC1B73">
          <w:rPr>
            <w:rFonts w:ascii="Times New Roman" w:eastAsia="Times New Roman" w:hAnsi="Times New Roman" w:cs="Times New Roman"/>
            <w:color w:val="0000FF"/>
            <w:kern w:val="0"/>
            <w:u w:val="single"/>
            <w14:ligatures w14:val="none"/>
          </w:rPr>
          <w:t>https://federalnewsnetwork.com/artificial-intelligence/2026/03/cmss-two-pronged-approach-to-crushing-fraud-waste-abuse/</w:t>
        </w:r>
      </w:hyperlink>
    </w:p>
    <w:p w14:paraId="1BE700A3"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HealthVerity. (2025, December 29). </w:t>
      </w:r>
      <w:r w:rsidRPr="00BC1B73">
        <w:rPr>
          <w:rFonts w:ascii="Times New Roman" w:eastAsia="Times New Roman" w:hAnsi="Times New Roman" w:cs="Times New Roman"/>
          <w:i/>
          <w:iCs/>
          <w:kern w:val="0"/>
          <w14:ligatures w14:val="none"/>
        </w:rPr>
        <w:t>AI trends shaping healthcare in 2026: Agentic, physical &amp; sovereign AI.</w:t>
      </w:r>
      <w:r w:rsidRPr="00BC1B73">
        <w:rPr>
          <w:rFonts w:ascii="Times New Roman" w:eastAsia="Times New Roman" w:hAnsi="Times New Roman" w:cs="Times New Roman"/>
          <w:kern w:val="0"/>
          <w14:ligatures w14:val="none"/>
        </w:rPr>
        <w:t xml:space="preserve"> </w:t>
      </w:r>
      <w:hyperlink r:id="rId5" w:history="1">
        <w:r w:rsidRPr="00BC1B73">
          <w:rPr>
            <w:rFonts w:ascii="Times New Roman" w:eastAsia="Times New Roman" w:hAnsi="Times New Roman" w:cs="Times New Roman"/>
            <w:color w:val="0000FF"/>
            <w:kern w:val="0"/>
            <w:u w:val="single"/>
            <w14:ligatures w14:val="none"/>
          </w:rPr>
          <w:t>https://blog.healthverity.com/ai-trends-shaping-healthcare-in-2026-agentic-physical-sovereign-ai</w:t>
        </w:r>
      </w:hyperlink>
    </w:p>
    <w:p w14:paraId="0810324D"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Holland &amp; Knight. (2026, April). </w:t>
      </w:r>
      <w:r w:rsidRPr="00BC1B73">
        <w:rPr>
          <w:rFonts w:ascii="Times New Roman" w:eastAsia="Times New Roman" w:hAnsi="Times New Roman" w:cs="Times New Roman"/>
          <w:i/>
          <w:iCs/>
          <w:kern w:val="0"/>
          <w14:ligatures w14:val="none"/>
        </w:rPr>
        <w:t>AI regulation: The new compliance frontier.</w:t>
      </w:r>
      <w:r w:rsidRPr="00BC1B73">
        <w:rPr>
          <w:rFonts w:ascii="Times New Roman" w:eastAsia="Times New Roman" w:hAnsi="Times New Roman" w:cs="Times New Roman"/>
          <w:kern w:val="0"/>
          <w14:ligatures w14:val="none"/>
        </w:rPr>
        <w:t xml:space="preserve"> </w:t>
      </w:r>
      <w:hyperlink r:id="rId6" w:history="1">
        <w:r w:rsidRPr="00BC1B73">
          <w:rPr>
            <w:rFonts w:ascii="Times New Roman" w:eastAsia="Times New Roman" w:hAnsi="Times New Roman" w:cs="Times New Roman"/>
            <w:color w:val="0000FF"/>
            <w:kern w:val="0"/>
            <w:u w:val="single"/>
            <w14:ligatures w14:val="none"/>
          </w:rPr>
          <w:t>https://www.hklaw.com/en/insights/publications/2026/04/ai-regulation-the-new-compliance-frontier</w:t>
        </w:r>
      </w:hyperlink>
    </w:p>
    <w:p w14:paraId="70667994"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Jimerson Birr. (2026, February). </w:t>
      </w:r>
      <w:r w:rsidRPr="00BC1B73">
        <w:rPr>
          <w:rFonts w:ascii="Times New Roman" w:eastAsia="Times New Roman" w:hAnsi="Times New Roman" w:cs="Times New Roman"/>
          <w:i/>
          <w:iCs/>
          <w:kern w:val="0"/>
          <w14:ligatures w14:val="none"/>
        </w:rPr>
        <w:t>Healthcare AI regulation 2026: New compliance requirements every provider must know.</w:t>
      </w:r>
      <w:r w:rsidRPr="00BC1B73">
        <w:rPr>
          <w:rFonts w:ascii="Times New Roman" w:eastAsia="Times New Roman" w:hAnsi="Times New Roman" w:cs="Times New Roman"/>
          <w:kern w:val="0"/>
          <w14:ligatures w14:val="none"/>
        </w:rPr>
        <w:t xml:space="preserve"> </w:t>
      </w:r>
      <w:hyperlink r:id="rId7" w:history="1">
        <w:r w:rsidRPr="00BC1B73">
          <w:rPr>
            <w:rFonts w:ascii="Times New Roman" w:eastAsia="Times New Roman" w:hAnsi="Times New Roman" w:cs="Times New Roman"/>
            <w:color w:val="0000FF"/>
            <w:kern w:val="0"/>
            <w:u w:val="single"/>
            <w14:ligatures w14:val="none"/>
          </w:rPr>
          <w:t>https://www.jimersonfirm.com/blog/2026/02/healthcare-ai-regulation-2025-new-compliance-requirements-every-provider-must-know/</w:t>
        </w:r>
      </w:hyperlink>
    </w:p>
    <w:p w14:paraId="26531927"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Philips. (2026, April 30). </w:t>
      </w:r>
      <w:r w:rsidRPr="00BC1B73">
        <w:rPr>
          <w:rFonts w:ascii="Times New Roman" w:eastAsia="Times New Roman" w:hAnsi="Times New Roman" w:cs="Times New Roman"/>
          <w:i/>
          <w:iCs/>
          <w:kern w:val="0"/>
          <w14:ligatures w14:val="none"/>
        </w:rPr>
        <w:t>Emerging healthcare AI trends in 2026 so far.</w:t>
      </w:r>
      <w:r w:rsidRPr="00BC1B73">
        <w:rPr>
          <w:rFonts w:ascii="Times New Roman" w:eastAsia="Times New Roman" w:hAnsi="Times New Roman" w:cs="Times New Roman"/>
          <w:kern w:val="0"/>
          <w14:ligatures w14:val="none"/>
        </w:rPr>
        <w:t xml:space="preserve"> </w:t>
      </w:r>
      <w:hyperlink r:id="rId8" w:history="1">
        <w:r w:rsidRPr="00BC1B73">
          <w:rPr>
            <w:rFonts w:ascii="Times New Roman" w:eastAsia="Times New Roman" w:hAnsi="Times New Roman" w:cs="Times New Roman"/>
            <w:color w:val="0000FF"/>
            <w:kern w:val="0"/>
            <w:u w:val="single"/>
            <w14:ligatures w14:val="none"/>
          </w:rPr>
          <w:t>https://www.philips.com/a-w/about/news/archive/features/2026/this-years-emerging-trends-in-healthcare-ai-so-far.html</w:t>
        </w:r>
      </w:hyperlink>
    </w:p>
    <w:p w14:paraId="5CF8C6B5"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Lewis, P., Perez, E., Piktus, A., Petroni, F., Karpukhin, V., Goyal, N., ... Kiela, D. (2020). Retrieval-augmented generation for knowledge-intensive NLP tasks. </w:t>
      </w:r>
      <w:r w:rsidRPr="00BC1B73">
        <w:rPr>
          <w:rFonts w:ascii="Times New Roman" w:eastAsia="Times New Roman" w:hAnsi="Times New Roman" w:cs="Times New Roman"/>
          <w:i/>
          <w:iCs/>
          <w:kern w:val="0"/>
          <w14:ligatures w14:val="none"/>
        </w:rPr>
        <w:t>Advances in Neural Information Processing Systems, 33.</w:t>
      </w:r>
      <w:r w:rsidRPr="00BC1B73">
        <w:rPr>
          <w:rFonts w:ascii="Times New Roman" w:eastAsia="Times New Roman" w:hAnsi="Times New Roman" w:cs="Times New Roman"/>
          <w:kern w:val="0"/>
          <w14:ligatures w14:val="none"/>
        </w:rPr>
        <w:t xml:space="preserve"> </w:t>
      </w:r>
      <w:hyperlink r:id="rId9" w:history="1">
        <w:r w:rsidRPr="00BC1B73">
          <w:rPr>
            <w:rFonts w:ascii="Times New Roman" w:eastAsia="Times New Roman" w:hAnsi="Times New Roman" w:cs="Times New Roman"/>
            <w:color w:val="0000FF"/>
            <w:kern w:val="0"/>
            <w:u w:val="single"/>
            <w14:ligatures w14:val="none"/>
          </w:rPr>
          <w:t>https://arxiv.org</w:t>
        </w:r>
        <w:r w:rsidRPr="00BC1B73">
          <w:rPr>
            <w:rFonts w:ascii="Times New Roman" w:eastAsia="Times New Roman" w:hAnsi="Times New Roman" w:cs="Times New Roman"/>
            <w:color w:val="0000FF"/>
            <w:kern w:val="0"/>
            <w:u w:val="single"/>
            <w14:ligatures w14:val="none"/>
          </w:rPr>
          <w:t>/</w:t>
        </w:r>
        <w:r w:rsidRPr="00BC1B73">
          <w:rPr>
            <w:rFonts w:ascii="Times New Roman" w:eastAsia="Times New Roman" w:hAnsi="Times New Roman" w:cs="Times New Roman"/>
            <w:color w:val="0000FF"/>
            <w:kern w:val="0"/>
            <w:u w:val="single"/>
            <w14:ligatures w14:val="none"/>
          </w:rPr>
          <w:t>abs/2005.11401</w:t>
        </w:r>
      </w:hyperlink>
    </w:p>
    <w:p w14:paraId="4EEBE9EA"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Wang, W., Ma, Z., Wang, Z., Wu, C., Chen, W., Li, X., &amp; Yuan, Y. (2025). A survey of LLM-based agents in medicine: How far are we from Baymax? </w:t>
      </w:r>
      <w:r w:rsidRPr="00BC1B73">
        <w:rPr>
          <w:rFonts w:ascii="Times New Roman" w:eastAsia="Times New Roman" w:hAnsi="Times New Roman" w:cs="Times New Roman"/>
          <w:i/>
          <w:iCs/>
          <w:kern w:val="0"/>
          <w14:ligatures w14:val="none"/>
        </w:rPr>
        <w:t>arXiv.</w:t>
      </w:r>
      <w:r w:rsidRPr="00BC1B73">
        <w:rPr>
          <w:rFonts w:ascii="Times New Roman" w:eastAsia="Times New Roman" w:hAnsi="Times New Roman" w:cs="Times New Roman"/>
          <w:kern w:val="0"/>
          <w14:ligatures w14:val="none"/>
        </w:rPr>
        <w:t xml:space="preserve"> </w:t>
      </w:r>
      <w:hyperlink r:id="rId10" w:history="1">
        <w:r w:rsidRPr="00BC1B73">
          <w:rPr>
            <w:rFonts w:ascii="Times New Roman" w:eastAsia="Times New Roman" w:hAnsi="Times New Roman" w:cs="Times New Roman"/>
            <w:color w:val="0000FF"/>
            <w:kern w:val="0"/>
            <w:u w:val="single"/>
            <w14:ligatures w14:val="none"/>
          </w:rPr>
          <w:t>https://arxiv.org/abs/2502.</w:t>
        </w:r>
        <w:r w:rsidRPr="00BC1B73">
          <w:rPr>
            <w:rFonts w:ascii="Times New Roman" w:eastAsia="Times New Roman" w:hAnsi="Times New Roman" w:cs="Times New Roman"/>
            <w:color w:val="0000FF"/>
            <w:kern w:val="0"/>
            <w:u w:val="single"/>
            <w14:ligatures w14:val="none"/>
          </w:rPr>
          <w:t>1</w:t>
        </w:r>
        <w:r w:rsidRPr="00BC1B73">
          <w:rPr>
            <w:rFonts w:ascii="Times New Roman" w:eastAsia="Times New Roman" w:hAnsi="Times New Roman" w:cs="Times New Roman"/>
            <w:color w:val="0000FF"/>
            <w:kern w:val="0"/>
            <w:u w:val="single"/>
            <w14:ligatures w14:val="none"/>
          </w:rPr>
          <w:t>1211</w:t>
        </w:r>
      </w:hyperlink>
    </w:p>
    <w:p w14:paraId="4B799FE2"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Wei, J., Wang, X., Schuurmans, D., Bosma, M., Ichter, B., Xia, F., ... Zhou, D. (2022). Chain-of-thought prompting elicits reasoning in large language models. </w:t>
      </w:r>
      <w:r w:rsidRPr="00BC1B73">
        <w:rPr>
          <w:rFonts w:ascii="Times New Roman" w:eastAsia="Times New Roman" w:hAnsi="Times New Roman" w:cs="Times New Roman"/>
          <w:i/>
          <w:iCs/>
          <w:kern w:val="0"/>
          <w14:ligatures w14:val="none"/>
        </w:rPr>
        <w:t>Advances in Neural Information Processing Systems, 35.</w:t>
      </w:r>
      <w:r w:rsidRPr="00BC1B73">
        <w:rPr>
          <w:rFonts w:ascii="Times New Roman" w:eastAsia="Times New Roman" w:hAnsi="Times New Roman" w:cs="Times New Roman"/>
          <w:kern w:val="0"/>
          <w14:ligatures w14:val="none"/>
        </w:rPr>
        <w:t xml:space="preserve"> </w:t>
      </w:r>
      <w:hyperlink r:id="rId11" w:history="1">
        <w:r w:rsidRPr="00BC1B73">
          <w:rPr>
            <w:rFonts w:ascii="Times New Roman" w:eastAsia="Times New Roman" w:hAnsi="Times New Roman" w:cs="Times New Roman"/>
            <w:color w:val="0000FF"/>
            <w:kern w:val="0"/>
            <w:u w:val="single"/>
            <w14:ligatures w14:val="none"/>
          </w:rPr>
          <w:t>https://arxiv.org/abs/22</w:t>
        </w:r>
        <w:r w:rsidRPr="00BC1B73">
          <w:rPr>
            <w:rFonts w:ascii="Times New Roman" w:eastAsia="Times New Roman" w:hAnsi="Times New Roman" w:cs="Times New Roman"/>
            <w:color w:val="0000FF"/>
            <w:kern w:val="0"/>
            <w:u w:val="single"/>
            <w14:ligatures w14:val="none"/>
          </w:rPr>
          <w:t>0</w:t>
        </w:r>
        <w:r w:rsidRPr="00BC1B73">
          <w:rPr>
            <w:rFonts w:ascii="Times New Roman" w:eastAsia="Times New Roman" w:hAnsi="Times New Roman" w:cs="Times New Roman"/>
            <w:color w:val="0000FF"/>
            <w:kern w:val="0"/>
            <w:u w:val="single"/>
            <w14:ligatures w14:val="none"/>
          </w:rPr>
          <w:t>1.11903</w:t>
        </w:r>
      </w:hyperlink>
    </w:p>
    <w:p w14:paraId="13F76DD5"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Yao, S., Zhao, J., Yu, D., Du, N., Shafran, I., Narasimhan, K., &amp; Cao, Y. (2023). ReAct: Synergizing reasoning and acting in language models. </w:t>
      </w:r>
      <w:r w:rsidRPr="00BC1B73">
        <w:rPr>
          <w:rFonts w:ascii="Times New Roman" w:eastAsia="Times New Roman" w:hAnsi="Times New Roman" w:cs="Times New Roman"/>
          <w:i/>
          <w:iCs/>
          <w:kern w:val="0"/>
          <w14:ligatures w14:val="none"/>
        </w:rPr>
        <w:t>International Conference on Learning Representations.</w:t>
      </w:r>
      <w:r w:rsidRPr="00BC1B73">
        <w:rPr>
          <w:rFonts w:ascii="Times New Roman" w:eastAsia="Times New Roman" w:hAnsi="Times New Roman" w:cs="Times New Roman"/>
          <w:kern w:val="0"/>
          <w14:ligatures w14:val="none"/>
        </w:rPr>
        <w:t xml:space="preserve"> </w:t>
      </w:r>
      <w:hyperlink r:id="rId12" w:history="1">
        <w:r w:rsidRPr="00BC1B73">
          <w:rPr>
            <w:rFonts w:ascii="Times New Roman" w:eastAsia="Times New Roman" w:hAnsi="Times New Roman" w:cs="Times New Roman"/>
            <w:color w:val="0000FF"/>
            <w:kern w:val="0"/>
            <w:u w:val="single"/>
            <w14:ligatures w14:val="none"/>
          </w:rPr>
          <w:t>https://arxiv.org/abs/2210.03629</w:t>
        </w:r>
      </w:hyperlink>
    </w:p>
    <w:p w14:paraId="163D37DC" w14:textId="77777777" w:rsidR="00BC1B73" w:rsidRPr="00BC1B73" w:rsidRDefault="00BC1B73" w:rsidP="00BC1B73">
      <w:pPr>
        <w:spacing w:before="100" w:beforeAutospacing="1" w:after="100" w:afterAutospacing="1" w:line="240" w:lineRule="auto"/>
        <w:rPr>
          <w:rFonts w:ascii="Times New Roman" w:eastAsia="Times New Roman" w:hAnsi="Times New Roman" w:cs="Times New Roman"/>
          <w:kern w:val="0"/>
          <w14:ligatures w14:val="none"/>
        </w:rPr>
      </w:pPr>
      <w:r w:rsidRPr="00BC1B73">
        <w:rPr>
          <w:rFonts w:ascii="Times New Roman" w:eastAsia="Times New Roman" w:hAnsi="Times New Roman" w:cs="Times New Roman"/>
          <w:kern w:val="0"/>
          <w14:ligatures w14:val="none"/>
        </w:rPr>
        <w:t xml:space="preserve">U.S. Government Accountability Office. (2024). </w:t>
      </w:r>
      <w:r w:rsidRPr="00BC1B73">
        <w:rPr>
          <w:rFonts w:ascii="Times New Roman" w:eastAsia="Times New Roman" w:hAnsi="Times New Roman" w:cs="Times New Roman"/>
          <w:i/>
          <w:iCs/>
          <w:kern w:val="0"/>
          <w14:ligatures w14:val="none"/>
        </w:rPr>
        <w:t>Medicare and Medicaid: Additional actions needed to enhance program integrity and save billions</w:t>
      </w:r>
      <w:r w:rsidRPr="00BC1B73">
        <w:rPr>
          <w:rFonts w:ascii="Times New Roman" w:eastAsia="Times New Roman" w:hAnsi="Times New Roman" w:cs="Times New Roman"/>
          <w:kern w:val="0"/>
          <w14:ligatures w14:val="none"/>
        </w:rPr>
        <w:t xml:space="preserve"> (GAO-24-107487). </w:t>
      </w:r>
      <w:hyperlink r:id="rId13" w:history="1">
        <w:r w:rsidRPr="00BC1B73">
          <w:rPr>
            <w:rFonts w:ascii="Times New Roman" w:eastAsia="Times New Roman" w:hAnsi="Times New Roman" w:cs="Times New Roman"/>
            <w:color w:val="0000FF"/>
            <w:kern w:val="0"/>
            <w:u w:val="single"/>
            <w14:ligatures w14:val="none"/>
          </w:rPr>
          <w:t>https://www.gao.gov/</w:t>
        </w:r>
        <w:r w:rsidRPr="00BC1B73">
          <w:rPr>
            <w:rFonts w:ascii="Times New Roman" w:eastAsia="Times New Roman" w:hAnsi="Times New Roman" w:cs="Times New Roman"/>
            <w:color w:val="0000FF"/>
            <w:kern w:val="0"/>
            <w:u w:val="single"/>
            <w14:ligatures w14:val="none"/>
          </w:rPr>
          <w:t>p</w:t>
        </w:r>
        <w:r w:rsidRPr="00BC1B73">
          <w:rPr>
            <w:rFonts w:ascii="Times New Roman" w:eastAsia="Times New Roman" w:hAnsi="Times New Roman" w:cs="Times New Roman"/>
            <w:color w:val="0000FF"/>
            <w:kern w:val="0"/>
            <w:u w:val="single"/>
            <w14:ligatures w14:val="none"/>
          </w:rPr>
          <w:t>roducts/gao-24-107487</w:t>
        </w:r>
      </w:hyperlink>
    </w:p>
    <w:p w14:paraId="7CE93FB7" w14:textId="5A9FACC6" w:rsidR="006E5C33" w:rsidRDefault="003A0CE5" w:rsidP="00BC1B73">
      <w:pPr>
        <w:spacing w:before="100" w:beforeAutospacing="1" w:after="100" w:afterAutospacing="1" w:line="240" w:lineRule="auto"/>
      </w:pPr>
      <w:r>
        <w:t>This submission was prepared using the following tools and technologies</w:t>
      </w:r>
      <w:r>
        <w:t xml:space="preserve"> </w:t>
      </w:r>
      <w:r>
        <w:t xml:space="preserve"> AI assistants: Anthropic's Claude (research synthesis, drafting assistance, and design iteration for the report and slides) and Claude Code</w:t>
      </w:r>
      <w:r>
        <w:t>.</w:t>
      </w:r>
    </w:p>
    <w:p w14:paraId="646A67F2" w14:textId="2FE903A7" w:rsidR="003A0CE5" w:rsidRDefault="003A0CE5" w:rsidP="00BC1B73">
      <w:pPr>
        <w:spacing w:before="100" w:beforeAutospacing="1" w:after="100" w:afterAutospacing="1" w:line="240" w:lineRule="auto"/>
      </w:pPr>
      <w:r>
        <w:t>The proof of concept itself is built on the Anthropic API (Claude Sonnet) for agentic claim reasoning, implemented in Python with Streamlit for the results-viewer interface</w:t>
      </w:r>
      <w:r>
        <w:t>.</w:t>
      </w:r>
    </w:p>
    <w:p w14:paraId="76D78438" w14:textId="634110CF" w:rsidR="003A0CE5" w:rsidRDefault="003A0CE5" w:rsidP="00BC1B73">
      <w:pPr>
        <w:spacing w:before="100" w:beforeAutospacing="1" w:after="100" w:afterAutospacing="1" w:line="240" w:lineRule="auto"/>
      </w:pPr>
      <w:r>
        <w:t>Synthetic claims data was authored by the candidate with AI assistance, using real CPT and ICD-10-CM code vocabulary; no real patient data (PHI) was used. Policy excerpts are simplified illustrations modeled on public CMS billing-policy language.</w:t>
      </w:r>
    </w:p>
    <w:sectPr w:rsidR="003A0CE5" w:rsidSect="00435B1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33"/>
    <w:rsid w:val="003A0CE5"/>
    <w:rsid w:val="00435B13"/>
    <w:rsid w:val="006E5C33"/>
    <w:rsid w:val="007C163B"/>
    <w:rsid w:val="00BC1B73"/>
    <w:rsid w:val="00BC2072"/>
    <w:rsid w:val="00C20FD8"/>
    <w:rsid w:val="00CB0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135D"/>
  <w15:chartTrackingRefBased/>
  <w15:docId w15:val="{ECA2021C-1EB0-184C-A976-92C1DB4BA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C33"/>
    <w:rPr>
      <w:rFonts w:eastAsiaTheme="majorEastAsia" w:cstheme="majorBidi"/>
      <w:color w:val="272727" w:themeColor="text1" w:themeTint="D8"/>
    </w:rPr>
  </w:style>
  <w:style w:type="paragraph" w:styleId="Title">
    <w:name w:val="Title"/>
    <w:basedOn w:val="Normal"/>
    <w:next w:val="Normal"/>
    <w:link w:val="TitleChar"/>
    <w:uiPriority w:val="10"/>
    <w:qFormat/>
    <w:rsid w:val="006E5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C33"/>
    <w:pPr>
      <w:spacing w:before="160"/>
      <w:jc w:val="center"/>
    </w:pPr>
    <w:rPr>
      <w:i/>
      <w:iCs/>
      <w:color w:val="404040" w:themeColor="text1" w:themeTint="BF"/>
    </w:rPr>
  </w:style>
  <w:style w:type="character" w:customStyle="1" w:styleId="QuoteChar">
    <w:name w:val="Quote Char"/>
    <w:basedOn w:val="DefaultParagraphFont"/>
    <w:link w:val="Quote"/>
    <w:uiPriority w:val="29"/>
    <w:rsid w:val="006E5C33"/>
    <w:rPr>
      <w:i/>
      <w:iCs/>
      <w:color w:val="404040" w:themeColor="text1" w:themeTint="BF"/>
    </w:rPr>
  </w:style>
  <w:style w:type="paragraph" w:styleId="ListParagraph">
    <w:name w:val="List Paragraph"/>
    <w:basedOn w:val="Normal"/>
    <w:uiPriority w:val="34"/>
    <w:qFormat/>
    <w:rsid w:val="006E5C33"/>
    <w:pPr>
      <w:ind w:left="720"/>
      <w:contextualSpacing/>
    </w:pPr>
  </w:style>
  <w:style w:type="character" w:styleId="IntenseEmphasis">
    <w:name w:val="Intense Emphasis"/>
    <w:basedOn w:val="DefaultParagraphFont"/>
    <w:uiPriority w:val="21"/>
    <w:qFormat/>
    <w:rsid w:val="006E5C33"/>
    <w:rPr>
      <w:i/>
      <w:iCs/>
      <w:color w:val="0F4761" w:themeColor="accent1" w:themeShade="BF"/>
    </w:rPr>
  </w:style>
  <w:style w:type="paragraph" w:styleId="IntenseQuote">
    <w:name w:val="Intense Quote"/>
    <w:basedOn w:val="Normal"/>
    <w:next w:val="Normal"/>
    <w:link w:val="IntenseQuoteChar"/>
    <w:uiPriority w:val="30"/>
    <w:qFormat/>
    <w:rsid w:val="006E5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C33"/>
    <w:rPr>
      <w:i/>
      <w:iCs/>
      <w:color w:val="0F4761" w:themeColor="accent1" w:themeShade="BF"/>
    </w:rPr>
  </w:style>
  <w:style w:type="character" w:styleId="IntenseReference">
    <w:name w:val="Intense Reference"/>
    <w:basedOn w:val="DefaultParagraphFont"/>
    <w:uiPriority w:val="32"/>
    <w:qFormat/>
    <w:rsid w:val="006E5C33"/>
    <w:rPr>
      <w:b/>
      <w:bCs/>
      <w:smallCaps/>
      <w:color w:val="0F4761" w:themeColor="accent1" w:themeShade="BF"/>
      <w:spacing w:val="5"/>
    </w:rPr>
  </w:style>
  <w:style w:type="paragraph" w:customStyle="1" w:styleId="font-claude-response-body">
    <w:name w:val="font-claude-response-body"/>
    <w:basedOn w:val="Normal"/>
    <w:rsid w:val="006E5C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5C33"/>
    <w:rPr>
      <w:b/>
      <w:bCs/>
    </w:rPr>
  </w:style>
  <w:style w:type="paragraph" w:styleId="NormalWeb">
    <w:name w:val="Normal (Web)"/>
    <w:basedOn w:val="Normal"/>
    <w:uiPriority w:val="99"/>
    <w:semiHidden/>
    <w:unhideWhenUsed/>
    <w:rsid w:val="006E5C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E5C33"/>
    <w:rPr>
      <w:i/>
      <w:iCs/>
    </w:rPr>
  </w:style>
  <w:style w:type="character" w:styleId="Hyperlink">
    <w:name w:val="Hyperlink"/>
    <w:basedOn w:val="DefaultParagraphFont"/>
    <w:uiPriority w:val="99"/>
    <w:semiHidden/>
    <w:unhideWhenUsed/>
    <w:rsid w:val="00BC1B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ips.com/a-w/about/news/archive/features/2026/this-years-emerging-trends-in-healthcare-ai-so-far.html" TargetMode="External"/><Relationship Id="rId13" Type="http://schemas.openxmlformats.org/officeDocument/2006/relationships/hyperlink" Target="https://www.gao.gov/products/gao-24-107487" TargetMode="External"/><Relationship Id="rId3" Type="http://schemas.openxmlformats.org/officeDocument/2006/relationships/webSettings" Target="webSettings.xml"/><Relationship Id="rId7" Type="http://schemas.openxmlformats.org/officeDocument/2006/relationships/hyperlink" Target="https://www.jimersonfirm.com/blog/2026/02/healthcare-ai-regulation-2025-new-compliance-requirements-every-provider-must-know/" TargetMode="External"/><Relationship Id="rId12" Type="http://schemas.openxmlformats.org/officeDocument/2006/relationships/hyperlink" Target="https://arxiv.org/abs/2210.0362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klaw.com/en/insights/publications/2026/04/ai-regulation-the-new-compliance-frontier" TargetMode="External"/><Relationship Id="rId11" Type="http://schemas.openxmlformats.org/officeDocument/2006/relationships/hyperlink" Target="https://arxiv.org/abs/2201.11903" TargetMode="External"/><Relationship Id="rId5" Type="http://schemas.openxmlformats.org/officeDocument/2006/relationships/hyperlink" Target="https://blog.healthverity.com/ai-trends-shaping-healthcare-in-2026-agentic-physical-sovereign-ai" TargetMode="External"/><Relationship Id="rId15" Type="http://schemas.openxmlformats.org/officeDocument/2006/relationships/theme" Target="theme/theme1.xml"/><Relationship Id="rId10" Type="http://schemas.openxmlformats.org/officeDocument/2006/relationships/hyperlink" Target="https://arxiv.org/abs/2502.11211" TargetMode="External"/><Relationship Id="rId4" Type="http://schemas.openxmlformats.org/officeDocument/2006/relationships/hyperlink" Target="https://federalnewsnetwork.com/artificial-intelligence/2026/03/cmss-two-pronged-approach-to-crushing-fraud-waste-abuse/" TargetMode="External"/><Relationship Id="rId9" Type="http://schemas.openxmlformats.org/officeDocument/2006/relationships/hyperlink" Target="https://arxiv.org/abs/2005.114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kokkula</dc:creator>
  <cp:keywords/>
  <dc:description/>
  <cp:lastModifiedBy>Bhanu kokkula</cp:lastModifiedBy>
  <cp:revision>1</cp:revision>
  <dcterms:created xsi:type="dcterms:W3CDTF">2026-08-07T19:16:00Z</dcterms:created>
  <dcterms:modified xsi:type="dcterms:W3CDTF">2026-08-07T23:09:00Z</dcterms:modified>
</cp:coreProperties>
</file>