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Calibri" w:hAnsi="Calibri"/>
          <w:b/>
          <w:color w:val="1B365D"/>
          <w:sz w:val="34"/>
        </w:rPr>
        <w:t>Rapido Captain Acquisition &amp; Supply — Executive Memo</w:t>
      </w:r>
    </w:p>
    <w:p>
      <w:pPr>
        <w:spacing w:before="0" w:after="120"/>
      </w:pPr>
      <w:r>
        <w:rPr>
          <w:rFonts w:ascii="Calibri" w:hAnsi="Calibri"/>
          <w:i/>
          <w:color w:val="646464"/>
          <w:sz w:val="18"/>
        </w:rPr>
        <w:t>To: Head of Supply  |  From: Data Science Team  |  Date: September 2026  |  Scope: National Onboarding &amp; Airport Supply</w:t>
      </w:r>
    </w:p>
    <w:p>
      <w:pPr>
        <w:spacing w:before="0" w:after="120"/>
      </w:pPr>
      <w:r>
        <w:rPr>
          <w:color w:val="1B365D"/>
        </w:rPr>
        <w:t>――――――――――――――――――――――――――――――――――――――――――――――――――――――――――――――――――――</w:t>
      </w:r>
    </w:p>
    <w:p>
      <w:pPr>
        <w:keepNext/>
        <w:spacing w:before="140" w:after="60"/>
      </w:pPr>
      <w:r>
        <w:rPr>
          <w:rFonts w:ascii="Calibri" w:hAnsi="Calibri"/>
          <w:b/>
          <w:color w:val="1B365D"/>
          <w:sz w:val="23"/>
        </w:rPr>
        <w:t>Executive Summary</w:t>
      </w:r>
    </w:p>
    <w:p>
      <w:pPr>
        <w:pStyle w:val="ListBullet"/>
        <w:spacing w:before="20" w:after="40"/>
        <w:ind w:left="288"/>
      </w:pPr>
      <w:r>
        <w:rPr>
          <w:b/>
          <w:color w:val="1B365D"/>
        </w:rPr>
        <w:t xml:space="preserve">Mature Onboarding Baseline (17.5% A2O): </w:t>
      </w:r>
      <w:r>
        <w:t>After correcting for June right-censoring (1,297 in-progress signups), baseline signup-to-approved conversion across mature cohorts (Jan–May 2026) is 17.48% (3,532 / 20,207 signups). Raw 16.82% undercounts operational health.</w:t>
      </w:r>
    </w:p>
    <w:p>
      <w:pPr>
        <w:pStyle w:val="ListBullet"/>
        <w:spacing w:before="20" w:after="40"/>
        <w:ind w:left="288"/>
      </w:pPr>
      <w:r>
        <w:rPr>
          <w:b/>
          <w:color w:val="1B365D"/>
        </w:rPr>
        <w:t xml:space="preserve">Top Onboarding Friction: </w:t>
      </w:r>
      <w:r>
        <w:t>The largest volume leak occurs at Registration Certificate (RC) upload (4,887 captains lost, 29.3% of total funnel loss). However, the biggest fixable leak is low-tier smartphone document capture blur (5,568 failures, representing 62.86% of all 8,858 low-device verification failures), causing low-device conversion to lag by 5.55% pts.</w:t>
      </w:r>
    </w:p>
    <w:p>
      <w:pPr>
        <w:pStyle w:val="ListBullet"/>
        <w:spacing w:before="20" w:after="40"/>
        <w:ind w:left="288"/>
      </w:pPr>
      <w:r>
        <w:rPr>
          <w:b/>
          <w:color w:val="1B365D"/>
        </w:rPr>
        <w:t xml:space="preserve">Growth Campaign CAMP_WA_002: </w:t>
      </w:r>
      <w:r>
        <w:t>Do NOT scale 5x budget immediately. The observed 17.78% conversion difference (28.98% vs 11.21%) is driven by selection bias (targeting captains who already cleared early stages). Within recipients, clickers converted at 28.34% vs 29.44% unclicked (no positive incremental evidence). Proposed experiment: 14-day RCT.</w:t>
      </w:r>
    </w:p>
    <w:p>
      <w:pPr>
        <w:pStyle w:val="ListBullet"/>
        <w:spacing w:before="20" w:after="40"/>
        <w:ind w:left="288"/>
      </w:pPr>
      <w:r>
        <w:rPr>
          <w:b/>
          <w:color w:val="1B365D"/>
        </w:rPr>
        <w:t xml:space="preserve">Airport Supply Mismatch: </w:t>
      </w:r>
      <w:r>
        <w:t>Reject targeted airport captain acquisition. Terminal fulfillment is high during daytime (86.94%), but collapses to 31.91% at night (21:00–03:00). 41.1% of airport trips drop in suburban zones where 83.5% get no return fare, driving 21.0% cancellations due to deadheading friction.</w:t>
      </w:r>
    </w:p>
    <w:p>
      <w:pPr>
        <w:keepNext/>
        <w:spacing w:before="140" w:after="60"/>
      </w:pPr>
      <w:r>
        <w:rPr>
          <w:rFonts w:ascii="Calibri" w:hAnsi="Calibri"/>
          <w:b/>
          <w:color w:val="1B365D"/>
          <w:sz w:val="23"/>
        </w:rPr>
        <w:t>1. What Is Happening — Onboarding Funnel &amp; Airport State</w:t>
      </w:r>
    </w:p>
    <w:p>
      <w:pPr>
        <w:spacing w:after="80"/>
      </w:pPr>
      <w:r>
        <w:t xml:space="preserve">Onboarding volume drops sequentially across 6 document stages. Across 20,207 mature signups: </w:t>
      </w:r>
      <w:r>
        <w:rPr>
          <w:b/>
        </w:rPr>
        <w:t xml:space="preserve">DL (88.6% conv) -&gt; RC (72.7% conv, 4,887 lost) -&gt; Aadhaar (89.4% conv) -&gt; Permit (75.2% conv) -&gt; Fitness (70.8% conv) -&gt; Insurance (62.8% conv) -&gt; Approved (17.5% cumulative A2O). 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02"/>
        <w:gridCol w:w="2102"/>
        <w:gridCol w:w="2102"/>
        <w:gridCol w:w="2102"/>
        <w:gridCol w:w="2102"/>
      </w:tblGrid>
      <w:tr>
        <w:tc>
          <w:tcPr>
            <w:tcW w:type="dxa" w:w="2102"/>
            <w:shd w:fill="1B365D"/>
            <w:tcMar>
              <w:top w:w="50" w:type="dxa"/>
              <w:bottom w:w="5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7"/>
              </w:rPr>
              <w:t>Funnel Stage</w:t>
            </w:r>
          </w:p>
        </w:tc>
        <w:tc>
          <w:tcPr>
            <w:tcW w:type="dxa" w:w="2102"/>
            <w:shd w:fill="1B365D"/>
            <w:tcMar>
              <w:top w:w="50" w:type="dxa"/>
              <w:bottom w:w="50" w:type="dxa"/>
              <w:left w:w="120" w:type="dxa"/>
              <w:right w:w="120" w:type="dxa"/>
            </w:tcMar>
          </w:tcPr>
          <w:p>
            <w:pPr>
              <w:jc w:val="right"/>
            </w:pPr>
            <w:r>
              <w:rPr>
                <w:b/>
                <w:color w:val="FFFFFF"/>
                <w:sz w:val="17"/>
              </w:rPr>
              <w:t>Captains Entering</w:t>
            </w:r>
          </w:p>
        </w:tc>
        <w:tc>
          <w:tcPr>
            <w:tcW w:type="dxa" w:w="2102"/>
            <w:shd w:fill="1B365D"/>
            <w:tcMar>
              <w:top w:w="50" w:type="dxa"/>
              <w:bottom w:w="50" w:type="dxa"/>
              <w:left w:w="120" w:type="dxa"/>
              <w:right w:w="120" w:type="dxa"/>
            </w:tcMar>
          </w:tcPr>
          <w:p>
            <w:pPr>
              <w:jc w:val="right"/>
            </w:pPr>
            <w:r>
              <w:rPr>
                <w:b/>
                <w:color w:val="FFFFFF"/>
                <w:sz w:val="17"/>
              </w:rPr>
              <w:t>Progressed</w:t>
            </w:r>
          </w:p>
        </w:tc>
        <w:tc>
          <w:tcPr>
            <w:tcW w:type="dxa" w:w="2102"/>
            <w:shd w:fill="1B365D"/>
            <w:tcMar>
              <w:top w:w="50" w:type="dxa"/>
              <w:bottom w:w="50" w:type="dxa"/>
              <w:left w:w="120" w:type="dxa"/>
              <w:right w:w="120" w:type="dxa"/>
            </w:tcMar>
          </w:tcPr>
          <w:p>
            <w:pPr>
              <w:jc w:val="right"/>
            </w:pPr>
            <w:r>
              <w:rPr>
                <w:b/>
                <w:color w:val="FFFFFF"/>
                <w:sz w:val="17"/>
              </w:rPr>
              <w:t>Lost Volume</w:t>
            </w:r>
          </w:p>
        </w:tc>
        <w:tc>
          <w:tcPr>
            <w:tcW w:type="dxa" w:w="2102"/>
            <w:shd w:fill="1B365D"/>
            <w:tcMar>
              <w:top w:w="50" w:type="dxa"/>
              <w:bottom w:w="50" w:type="dxa"/>
              <w:left w:w="120" w:type="dxa"/>
              <w:right w:w="120" w:type="dxa"/>
            </w:tcMar>
          </w:tcPr>
          <w:p>
            <w:pPr>
              <w:jc w:val="right"/>
            </w:pPr>
            <w:r>
              <w:rPr>
                <w:b/>
                <w:color w:val="FFFFFF"/>
                <w:sz w:val="17"/>
              </w:rPr>
              <w:t>Stage Conv %</w:t>
            </w:r>
          </w:p>
        </w:tc>
      </w:tr>
      <w:tr>
        <w:tc>
          <w:tcPr>
            <w:tcW w:type="dxa" w:w="2102"/>
            <w:shd w:fill="F2F4F7"/>
            <w:tcMar>
              <w:top w:w="35" w:type="dxa"/>
              <w:bottom w:w="35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sz w:val="17"/>
              </w:rPr>
              <w:t>1. Signup -&gt; DL</w:t>
            </w:r>
          </w:p>
        </w:tc>
        <w:tc>
          <w:tcPr>
            <w:tcW w:type="dxa" w:w="2102"/>
            <w:shd w:fill="F2F4F7"/>
            <w:tcMar>
              <w:top w:w="35" w:type="dxa"/>
              <w:bottom w:w="35" w:type="dxa"/>
              <w:left w:w="120" w:type="dxa"/>
              <w:right w:w="120" w:type="dxa"/>
            </w:tcMar>
          </w:tcPr>
          <w:p>
            <w:pPr>
              <w:jc w:val="right"/>
            </w:pPr>
            <w:r>
              <w:rPr>
                <w:sz w:val="17"/>
              </w:rPr>
              <w:t>20,207</w:t>
            </w:r>
          </w:p>
        </w:tc>
        <w:tc>
          <w:tcPr>
            <w:tcW w:type="dxa" w:w="2102"/>
            <w:shd w:fill="F2F4F7"/>
            <w:tcMar>
              <w:top w:w="35" w:type="dxa"/>
              <w:bottom w:w="35" w:type="dxa"/>
              <w:left w:w="120" w:type="dxa"/>
              <w:right w:w="120" w:type="dxa"/>
            </w:tcMar>
          </w:tcPr>
          <w:p>
            <w:pPr>
              <w:jc w:val="right"/>
            </w:pPr>
            <w:r>
              <w:rPr>
                <w:sz w:val="17"/>
              </w:rPr>
              <w:t>17,895</w:t>
            </w:r>
          </w:p>
        </w:tc>
        <w:tc>
          <w:tcPr>
            <w:tcW w:type="dxa" w:w="2102"/>
            <w:shd w:fill="F2F4F7"/>
            <w:tcMar>
              <w:top w:w="35" w:type="dxa"/>
              <w:bottom w:w="35" w:type="dxa"/>
              <w:left w:w="120" w:type="dxa"/>
              <w:right w:w="120" w:type="dxa"/>
            </w:tcMar>
          </w:tcPr>
          <w:p>
            <w:pPr>
              <w:jc w:val="right"/>
            </w:pPr>
            <w:r>
              <w:rPr>
                <w:sz w:val="17"/>
              </w:rPr>
              <w:t>2,312</w:t>
            </w:r>
          </w:p>
        </w:tc>
        <w:tc>
          <w:tcPr>
            <w:tcW w:type="dxa" w:w="2102"/>
            <w:shd w:fill="F2F4F7"/>
            <w:tcMar>
              <w:top w:w="35" w:type="dxa"/>
              <w:bottom w:w="35" w:type="dxa"/>
              <w:left w:w="120" w:type="dxa"/>
              <w:right w:w="120" w:type="dxa"/>
            </w:tcMar>
          </w:tcPr>
          <w:p>
            <w:pPr>
              <w:jc w:val="right"/>
            </w:pPr>
            <w:r>
              <w:rPr>
                <w:sz w:val="17"/>
              </w:rPr>
              <w:t>88.56%</w:t>
            </w:r>
          </w:p>
        </w:tc>
      </w:tr>
      <w:tr>
        <w:tc>
          <w:tcPr>
            <w:tcW w:type="dxa" w:w="2102"/>
            <w:shd w:fill="FFFFFF"/>
            <w:tcMar>
              <w:top w:w="35" w:type="dxa"/>
              <w:bottom w:w="35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sz w:val="17"/>
              </w:rPr>
              <w:t>2. DL -&gt; RC (Top Loss)</w:t>
            </w:r>
          </w:p>
        </w:tc>
        <w:tc>
          <w:tcPr>
            <w:tcW w:type="dxa" w:w="2102"/>
            <w:shd w:fill="FFFFFF"/>
            <w:tcMar>
              <w:top w:w="35" w:type="dxa"/>
              <w:bottom w:w="35" w:type="dxa"/>
              <w:left w:w="120" w:type="dxa"/>
              <w:right w:w="120" w:type="dxa"/>
            </w:tcMar>
          </w:tcPr>
          <w:p>
            <w:pPr>
              <w:jc w:val="right"/>
            </w:pPr>
            <w:r>
              <w:rPr>
                <w:sz w:val="17"/>
              </w:rPr>
              <w:t>17,895</w:t>
            </w:r>
          </w:p>
        </w:tc>
        <w:tc>
          <w:tcPr>
            <w:tcW w:type="dxa" w:w="2102"/>
            <w:shd w:fill="FFFFFF"/>
            <w:tcMar>
              <w:top w:w="35" w:type="dxa"/>
              <w:bottom w:w="35" w:type="dxa"/>
              <w:left w:w="120" w:type="dxa"/>
              <w:right w:w="120" w:type="dxa"/>
            </w:tcMar>
          </w:tcPr>
          <w:p>
            <w:pPr>
              <w:jc w:val="right"/>
            </w:pPr>
            <w:r>
              <w:rPr>
                <w:sz w:val="17"/>
              </w:rPr>
              <w:t>13,008</w:t>
            </w:r>
          </w:p>
        </w:tc>
        <w:tc>
          <w:tcPr>
            <w:tcW w:type="dxa" w:w="2102"/>
            <w:shd w:fill="FFFFFF"/>
            <w:tcMar>
              <w:top w:w="35" w:type="dxa"/>
              <w:bottom w:w="35" w:type="dxa"/>
              <w:left w:w="120" w:type="dxa"/>
              <w:right w:w="120" w:type="dxa"/>
            </w:tcMar>
          </w:tcPr>
          <w:p>
            <w:pPr>
              <w:jc w:val="right"/>
            </w:pPr>
            <w:r>
              <w:rPr>
                <w:sz w:val="17"/>
              </w:rPr>
              <w:t>4,887</w:t>
            </w:r>
          </w:p>
        </w:tc>
        <w:tc>
          <w:tcPr>
            <w:tcW w:type="dxa" w:w="2102"/>
            <w:shd w:fill="FFFFFF"/>
            <w:tcMar>
              <w:top w:w="35" w:type="dxa"/>
              <w:bottom w:w="35" w:type="dxa"/>
              <w:left w:w="120" w:type="dxa"/>
              <w:right w:w="120" w:type="dxa"/>
            </w:tcMar>
          </w:tcPr>
          <w:p>
            <w:pPr>
              <w:jc w:val="right"/>
            </w:pPr>
            <w:r>
              <w:rPr>
                <w:sz w:val="17"/>
              </w:rPr>
              <w:t>72.69%</w:t>
            </w:r>
          </w:p>
        </w:tc>
      </w:tr>
      <w:tr>
        <w:tc>
          <w:tcPr>
            <w:tcW w:type="dxa" w:w="2102"/>
            <w:shd w:fill="F2F4F7"/>
            <w:tcMar>
              <w:top w:w="35" w:type="dxa"/>
              <w:bottom w:w="35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sz w:val="17"/>
              </w:rPr>
              <w:t>3. RC -&gt; Aadhaar</w:t>
            </w:r>
          </w:p>
        </w:tc>
        <w:tc>
          <w:tcPr>
            <w:tcW w:type="dxa" w:w="2102"/>
            <w:shd w:fill="F2F4F7"/>
            <w:tcMar>
              <w:top w:w="35" w:type="dxa"/>
              <w:bottom w:w="35" w:type="dxa"/>
              <w:left w:w="120" w:type="dxa"/>
              <w:right w:w="120" w:type="dxa"/>
            </w:tcMar>
          </w:tcPr>
          <w:p>
            <w:pPr>
              <w:jc w:val="right"/>
            </w:pPr>
            <w:r>
              <w:rPr>
                <w:sz w:val="17"/>
              </w:rPr>
              <w:t>13,008</w:t>
            </w:r>
          </w:p>
        </w:tc>
        <w:tc>
          <w:tcPr>
            <w:tcW w:type="dxa" w:w="2102"/>
            <w:shd w:fill="F2F4F7"/>
            <w:tcMar>
              <w:top w:w="35" w:type="dxa"/>
              <w:bottom w:w="35" w:type="dxa"/>
              <w:left w:w="120" w:type="dxa"/>
              <w:right w:w="120" w:type="dxa"/>
            </w:tcMar>
          </w:tcPr>
          <w:p>
            <w:pPr>
              <w:jc w:val="right"/>
            </w:pPr>
            <w:r>
              <w:rPr>
                <w:sz w:val="17"/>
              </w:rPr>
              <w:t>11,631</w:t>
            </w:r>
          </w:p>
        </w:tc>
        <w:tc>
          <w:tcPr>
            <w:tcW w:type="dxa" w:w="2102"/>
            <w:shd w:fill="F2F4F7"/>
            <w:tcMar>
              <w:top w:w="35" w:type="dxa"/>
              <w:bottom w:w="35" w:type="dxa"/>
              <w:left w:w="120" w:type="dxa"/>
              <w:right w:w="120" w:type="dxa"/>
            </w:tcMar>
          </w:tcPr>
          <w:p>
            <w:pPr>
              <w:jc w:val="right"/>
            </w:pPr>
            <w:r>
              <w:rPr>
                <w:sz w:val="17"/>
              </w:rPr>
              <w:t>1,377</w:t>
            </w:r>
          </w:p>
        </w:tc>
        <w:tc>
          <w:tcPr>
            <w:tcW w:type="dxa" w:w="2102"/>
            <w:shd w:fill="F2F4F7"/>
            <w:tcMar>
              <w:top w:w="35" w:type="dxa"/>
              <w:bottom w:w="35" w:type="dxa"/>
              <w:left w:w="120" w:type="dxa"/>
              <w:right w:w="120" w:type="dxa"/>
            </w:tcMar>
          </w:tcPr>
          <w:p>
            <w:pPr>
              <w:jc w:val="right"/>
            </w:pPr>
            <w:r>
              <w:rPr>
                <w:sz w:val="17"/>
              </w:rPr>
              <w:t>89.41%</w:t>
            </w:r>
          </w:p>
        </w:tc>
      </w:tr>
      <w:tr>
        <w:tc>
          <w:tcPr>
            <w:tcW w:type="dxa" w:w="2102"/>
            <w:shd w:fill="FFFFFF"/>
            <w:tcMar>
              <w:top w:w="35" w:type="dxa"/>
              <w:bottom w:w="35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sz w:val="17"/>
              </w:rPr>
              <w:t>4. Aadhaar -&gt; Permit</w:t>
            </w:r>
          </w:p>
        </w:tc>
        <w:tc>
          <w:tcPr>
            <w:tcW w:type="dxa" w:w="2102"/>
            <w:shd w:fill="FFFFFF"/>
            <w:tcMar>
              <w:top w:w="35" w:type="dxa"/>
              <w:bottom w:w="35" w:type="dxa"/>
              <w:left w:w="120" w:type="dxa"/>
              <w:right w:w="120" w:type="dxa"/>
            </w:tcMar>
          </w:tcPr>
          <w:p>
            <w:pPr>
              <w:jc w:val="right"/>
            </w:pPr>
            <w:r>
              <w:rPr>
                <w:sz w:val="17"/>
              </w:rPr>
              <w:t>11,631</w:t>
            </w:r>
          </w:p>
        </w:tc>
        <w:tc>
          <w:tcPr>
            <w:tcW w:type="dxa" w:w="2102"/>
            <w:shd w:fill="FFFFFF"/>
            <w:tcMar>
              <w:top w:w="35" w:type="dxa"/>
              <w:bottom w:w="35" w:type="dxa"/>
              <w:left w:w="120" w:type="dxa"/>
              <w:right w:w="120" w:type="dxa"/>
            </w:tcMar>
          </w:tcPr>
          <w:p>
            <w:pPr>
              <w:jc w:val="right"/>
            </w:pPr>
            <w:r>
              <w:rPr>
                <w:sz w:val="17"/>
              </w:rPr>
              <w:t>8,743</w:t>
            </w:r>
          </w:p>
        </w:tc>
        <w:tc>
          <w:tcPr>
            <w:tcW w:type="dxa" w:w="2102"/>
            <w:shd w:fill="FFFFFF"/>
            <w:tcMar>
              <w:top w:w="35" w:type="dxa"/>
              <w:bottom w:w="35" w:type="dxa"/>
              <w:left w:w="120" w:type="dxa"/>
              <w:right w:w="120" w:type="dxa"/>
            </w:tcMar>
          </w:tcPr>
          <w:p>
            <w:pPr>
              <w:jc w:val="right"/>
            </w:pPr>
            <w:r>
              <w:rPr>
                <w:sz w:val="17"/>
              </w:rPr>
              <w:t>2,888</w:t>
            </w:r>
          </w:p>
        </w:tc>
        <w:tc>
          <w:tcPr>
            <w:tcW w:type="dxa" w:w="2102"/>
            <w:shd w:fill="FFFFFF"/>
            <w:tcMar>
              <w:top w:w="35" w:type="dxa"/>
              <w:bottom w:w="35" w:type="dxa"/>
              <w:left w:w="120" w:type="dxa"/>
              <w:right w:w="120" w:type="dxa"/>
            </w:tcMar>
          </w:tcPr>
          <w:p>
            <w:pPr>
              <w:jc w:val="right"/>
            </w:pPr>
            <w:r>
              <w:rPr>
                <w:sz w:val="17"/>
              </w:rPr>
              <w:t>75.17%</w:t>
            </w:r>
          </w:p>
        </w:tc>
      </w:tr>
      <w:tr>
        <w:tc>
          <w:tcPr>
            <w:tcW w:type="dxa" w:w="2102"/>
            <w:shd w:fill="F2F4F7"/>
            <w:tcMar>
              <w:top w:w="35" w:type="dxa"/>
              <w:bottom w:w="35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sz w:val="17"/>
              </w:rPr>
              <w:t>5. Permit -&gt; Fitness</w:t>
            </w:r>
          </w:p>
        </w:tc>
        <w:tc>
          <w:tcPr>
            <w:tcW w:type="dxa" w:w="2102"/>
            <w:shd w:fill="F2F4F7"/>
            <w:tcMar>
              <w:top w:w="35" w:type="dxa"/>
              <w:bottom w:w="35" w:type="dxa"/>
              <w:left w:w="120" w:type="dxa"/>
              <w:right w:w="120" w:type="dxa"/>
            </w:tcMar>
          </w:tcPr>
          <w:p>
            <w:pPr>
              <w:jc w:val="right"/>
            </w:pPr>
            <w:r>
              <w:rPr>
                <w:sz w:val="17"/>
              </w:rPr>
              <w:t>8,743</w:t>
            </w:r>
          </w:p>
        </w:tc>
        <w:tc>
          <w:tcPr>
            <w:tcW w:type="dxa" w:w="2102"/>
            <w:shd w:fill="F2F4F7"/>
            <w:tcMar>
              <w:top w:w="35" w:type="dxa"/>
              <w:bottom w:w="35" w:type="dxa"/>
              <w:left w:w="120" w:type="dxa"/>
              <w:right w:w="120" w:type="dxa"/>
            </w:tcMar>
          </w:tcPr>
          <w:p>
            <w:pPr>
              <w:jc w:val="right"/>
            </w:pPr>
            <w:r>
              <w:rPr>
                <w:sz w:val="17"/>
              </w:rPr>
              <w:t>6,191</w:t>
            </w:r>
          </w:p>
        </w:tc>
        <w:tc>
          <w:tcPr>
            <w:tcW w:type="dxa" w:w="2102"/>
            <w:shd w:fill="F2F4F7"/>
            <w:tcMar>
              <w:top w:w="35" w:type="dxa"/>
              <w:bottom w:w="35" w:type="dxa"/>
              <w:left w:w="120" w:type="dxa"/>
              <w:right w:w="120" w:type="dxa"/>
            </w:tcMar>
          </w:tcPr>
          <w:p>
            <w:pPr>
              <w:jc w:val="right"/>
            </w:pPr>
            <w:r>
              <w:rPr>
                <w:sz w:val="17"/>
              </w:rPr>
              <w:t>2,552</w:t>
            </w:r>
          </w:p>
        </w:tc>
        <w:tc>
          <w:tcPr>
            <w:tcW w:type="dxa" w:w="2102"/>
            <w:shd w:fill="F2F4F7"/>
            <w:tcMar>
              <w:top w:w="35" w:type="dxa"/>
              <w:bottom w:w="35" w:type="dxa"/>
              <w:left w:w="120" w:type="dxa"/>
              <w:right w:w="120" w:type="dxa"/>
            </w:tcMar>
          </w:tcPr>
          <w:p>
            <w:pPr>
              <w:jc w:val="right"/>
            </w:pPr>
            <w:r>
              <w:rPr>
                <w:sz w:val="17"/>
              </w:rPr>
              <w:t>70.81%</w:t>
            </w:r>
          </w:p>
        </w:tc>
      </w:tr>
      <w:tr>
        <w:tc>
          <w:tcPr>
            <w:tcW w:type="dxa" w:w="2102"/>
            <w:shd w:fill="FFFFFF"/>
            <w:tcMar>
              <w:top w:w="35" w:type="dxa"/>
              <w:bottom w:w="35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sz w:val="17"/>
              </w:rPr>
              <w:t>6. Fitness -&gt; Insurance</w:t>
            </w:r>
          </w:p>
        </w:tc>
        <w:tc>
          <w:tcPr>
            <w:tcW w:type="dxa" w:w="2102"/>
            <w:shd w:fill="FFFFFF"/>
            <w:tcMar>
              <w:top w:w="35" w:type="dxa"/>
              <w:bottom w:w="35" w:type="dxa"/>
              <w:left w:w="120" w:type="dxa"/>
              <w:right w:w="120" w:type="dxa"/>
            </w:tcMar>
          </w:tcPr>
          <w:p>
            <w:pPr>
              <w:jc w:val="right"/>
            </w:pPr>
            <w:r>
              <w:rPr>
                <w:sz w:val="17"/>
              </w:rPr>
              <w:t>6,191</w:t>
            </w:r>
          </w:p>
        </w:tc>
        <w:tc>
          <w:tcPr>
            <w:tcW w:type="dxa" w:w="2102"/>
            <w:shd w:fill="FFFFFF"/>
            <w:tcMar>
              <w:top w:w="35" w:type="dxa"/>
              <w:bottom w:w="35" w:type="dxa"/>
              <w:left w:w="120" w:type="dxa"/>
              <w:right w:w="120" w:type="dxa"/>
            </w:tcMar>
          </w:tcPr>
          <w:p>
            <w:pPr>
              <w:jc w:val="right"/>
            </w:pPr>
            <w:r>
              <w:rPr>
                <w:sz w:val="17"/>
              </w:rPr>
              <w:t>3,888</w:t>
            </w:r>
          </w:p>
        </w:tc>
        <w:tc>
          <w:tcPr>
            <w:tcW w:type="dxa" w:w="2102"/>
            <w:shd w:fill="FFFFFF"/>
            <w:tcMar>
              <w:top w:w="35" w:type="dxa"/>
              <w:bottom w:w="35" w:type="dxa"/>
              <w:left w:w="120" w:type="dxa"/>
              <w:right w:w="120" w:type="dxa"/>
            </w:tcMar>
          </w:tcPr>
          <w:p>
            <w:pPr>
              <w:jc w:val="right"/>
            </w:pPr>
            <w:r>
              <w:rPr>
                <w:sz w:val="17"/>
              </w:rPr>
              <w:t>2,303</w:t>
            </w:r>
          </w:p>
        </w:tc>
        <w:tc>
          <w:tcPr>
            <w:tcW w:type="dxa" w:w="2102"/>
            <w:shd w:fill="FFFFFF"/>
            <w:tcMar>
              <w:top w:w="35" w:type="dxa"/>
              <w:bottom w:w="35" w:type="dxa"/>
              <w:left w:w="120" w:type="dxa"/>
              <w:right w:w="120" w:type="dxa"/>
            </w:tcMar>
          </w:tcPr>
          <w:p>
            <w:pPr>
              <w:jc w:val="right"/>
            </w:pPr>
            <w:r>
              <w:rPr>
                <w:sz w:val="17"/>
              </w:rPr>
              <w:t>62.80%</w:t>
            </w:r>
          </w:p>
        </w:tc>
      </w:tr>
      <w:tr>
        <w:tc>
          <w:tcPr>
            <w:tcW w:type="dxa" w:w="2102"/>
            <w:shd w:fill="F2F4F7"/>
            <w:tcMar>
              <w:top w:w="35" w:type="dxa"/>
              <w:bottom w:w="35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sz w:val="17"/>
              </w:rPr>
              <w:t>7. Insurance -&gt; Approved</w:t>
            </w:r>
          </w:p>
        </w:tc>
        <w:tc>
          <w:tcPr>
            <w:tcW w:type="dxa" w:w="2102"/>
            <w:shd w:fill="F2F4F7"/>
            <w:tcMar>
              <w:top w:w="35" w:type="dxa"/>
              <w:bottom w:w="35" w:type="dxa"/>
              <w:left w:w="120" w:type="dxa"/>
              <w:right w:w="120" w:type="dxa"/>
            </w:tcMar>
          </w:tcPr>
          <w:p>
            <w:pPr>
              <w:jc w:val="right"/>
            </w:pPr>
            <w:r>
              <w:rPr>
                <w:sz w:val="17"/>
              </w:rPr>
              <w:t>3,888</w:t>
            </w:r>
          </w:p>
        </w:tc>
        <w:tc>
          <w:tcPr>
            <w:tcW w:type="dxa" w:w="2102"/>
            <w:shd w:fill="F2F4F7"/>
            <w:tcMar>
              <w:top w:w="35" w:type="dxa"/>
              <w:bottom w:w="35" w:type="dxa"/>
              <w:left w:w="120" w:type="dxa"/>
              <w:right w:w="120" w:type="dxa"/>
            </w:tcMar>
          </w:tcPr>
          <w:p>
            <w:pPr>
              <w:jc w:val="right"/>
            </w:pPr>
            <w:r>
              <w:rPr>
                <w:sz w:val="17"/>
              </w:rPr>
              <w:t>3,532</w:t>
            </w:r>
          </w:p>
        </w:tc>
        <w:tc>
          <w:tcPr>
            <w:tcW w:type="dxa" w:w="2102"/>
            <w:shd w:fill="F2F4F7"/>
            <w:tcMar>
              <w:top w:w="35" w:type="dxa"/>
              <w:bottom w:w="35" w:type="dxa"/>
              <w:left w:w="120" w:type="dxa"/>
              <w:right w:w="120" w:type="dxa"/>
            </w:tcMar>
          </w:tcPr>
          <w:p>
            <w:pPr>
              <w:jc w:val="right"/>
            </w:pPr>
            <w:r>
              <w:rPr>
                <w:sz w:val="17"/>
              </w:rPr>
              <w:t>356</w:t>
            </w:r>
          </w:p>
        </w:tc>
        <w:tc>
          <w:tcPr>
            <w:tcW w:type="dxa" w:w="2102"/>
            <w:shd w:fill="F2F4F7"/>
            <w:tcMar>
              <w:top w:w="35" w:type="dxa"/>
              <w:bottom w:w="35" w:type="dxa"/>
              <w:left w:w="120" w:type="dxa"/>
              <w:right w:w="120" w:type="dxa"/>
            </w:tcMar>
          </w:tcPr>
          <w:p>
            <w:pPr>
              <w:jc w:val="right"/>
            </w:pPr>
            <w:r>
              <w:rPr>
                <w:sz w:val="17"/>
              </w:rPr>
              <w:t>90.84%</w:t>
            </w:r>
          </w:p>
        </w:tc>
      </w:tr>
    </w:tbl>
    <w:p>
      <w:pPr>
        <w:keepNext/>
        <w:spacing w:before="140" w:after="60"/>
      </w:pPr>
      <w:r>
        <w:rPr>
          <w:rFonts w:ascii="Calibri" w:hAnsi="Calibri"/>
          <w:b/>
          <w:color w:val="1B365D"/>
          <w:sz w:val="23"/>
        </w:rPr>
        <w:t>2. What We Should Do — Three Ranked Operational Actions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02"/>
        <w:gridCol w:w="2102"/>
        <w:gridCol w:w="2102"/>
        <w:gridCol w:w="2102"/>
        <w:gridCol w:w="2102"/>
      </w:tblGrid>
      <w:tr>
        <w:tc>
          <w:tcPr>
            <w:tcW w:type="dxa" w:w="2102"/>
            <w:shd w:fill="1B365D"/>
            <w:tcMar>
              <w:top w:w="50" w:type="dxa"/>
              <w:bottom w:w="5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17"/>
              </w:rPr>
              <w:t>Rank &amp; Action</w:t>
            </w:r>
          </w:p>
        </w:tc>
        <w:tc>
          <w:tcPr>
            <w:tcW w:type="dxa" w:w="2102"/>
            <w:shd w:fill="1B365D"/>
            <w:tcMar>
              <w:top w:w="50" w:type="dxa"/>
              <w:bottom w:w="5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17"/>
              </w:rPr>
              <w:t>Target Problem</w:t>
            </w:r>
          </w:p>
        </w:tc>
        <w:tc>
          <w:tcPr>
            <w:tcW w:type="dxa" w:w="2102"/>
            <w:shd w:fill="1B365D"/>
            <w:tcMar>
              <w:top w:w="50" w:type="dxa"/>
              <w:bottom w:w="5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17"/>
              </w:rPr>
              <w:t>Expected Monthly Impact</w:t>
            </w:r>
          </w:p>
        </w:tc>
        <w:tc>
          <w:tcPr>
            <w:tcW w:type="dxa" w:w="2102"/>
            <w:shd w:fill="1B365D"/>
            <w:tcMar>
              <w:top w:w="50" w:type="dxa"/>
              <w:bottom w:w="5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17"/>
              </w:rPr>
              <w:t>Illustrative Pilot Budget</w:t>
            </w:r>
          </w:p>
        </w:tc>
        <w:tc>
          <w:tcPr>
            <w:tcW w:type="dxa" w:w="2102"/>
            <w:shd w:fill="1B365D"/>
            <w:tcMar>
              <w:top w:w="50" w:type="dxa"/>
              <w:bottom w:w="5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17"/>
              </w:rPr>
              <w:t>Primary Metric</w:t>
            </w:r>
          </w:p>
        </w:tc>
      </w:tr>
      <w:tr>
        <w:tc>
          <w:tcPr>
            <w:tcW w:type="dxa" w:w="2102"/>
            <w:shd w:fill="F2F4F7"/>
            <w:tcMar>
              <w:top w:w="40" w:type="dxa"/>
              <w:bottom w:w="40" w:type="dxa"/>
              <w:left w:w="120" w:type="dxa"/>
              <w:right w:w="120" w:type="dxa"/>
            </w:tcMar>
          </w:tcPr>
          <w:p>
            <w:r>
              <w:rPr>
                <w:sz w:val="16"/>
              </w:rPr>
              <w:t>#1 Low-Device Auto-Blur SDK</w:t>
            </w:r>
          </w:p>
        </w:tc>
        <w:tc>
          <w:tcPr>
            <w:tcW w:type="dxa" w:w="2102"/>
            <w:shd w:fill="F2F4F7"/>
            <w:tcMar>
              <w:top w:w="40" w:type="dxa"/>
              <w:bottom w:w="40" w:type="dxa"/>
              <w:left w:w="120" w:type="dxa"/>
              <w:right w:w="120" w:type="dxa"/>
            </w:tcMar>
          </w:tcPr>
          <w:p>
            <w:r>
              <w:rPr>
                <w:sz w:val="16"/>
              </w:rPr>
              <w:t>5,568 low-device photo/OCR failures (62.86% of 8,858 low-device failures)</w:t>
            </w:r>
          </w:p>
        </w:tc>
        <w:tc>
          <w:tcPr>
            <w:tcW w:type="dxa" w:w="2102"/>
            <w:shd w:fill="F2F4F7"/>
            <w:tcMar>
              <w:top w:w="40" w:type="dxa"/>
              <w:bottom w:w="40" w:type="dxa"/>
              <w:left w:w="120" w:type="dxa"/>
              <w:right w:w="120" w:type="dxa"/>
            </w:tcMar>
          </w:tcPr>
          <w:p>
            <w:r>
              <w:rPr>
                <w:sz w:val="16"/>
              </w:rPr>
              <w:t>+52 Approved Captains / Month (Base-case planning estimate bridging 50% gap)</w:t>
            </w:r>
          </w:p>
        </w:tc>
        <w:tc>
          <w:tcPr>
            <w:tcW w:type="dxa" w:w="2102"/>
            <w:shd w:fill="F2F4F7"/>
            <w:tcMar>
              <w:top w:w="40" w:type="dxa"/>
              <w:bottom w:w="40" w:type="dxa"/>
              <w:left w:w="120" w:type="dxa"/>
              <w:right w:w="120" w:type="dxa"/>
            </w:tcMar>
          </w:tcPr>
          <w:p>
            <w:r>
              <w:rPr>
                <w:sz w:val="16"/>
              </w:rPr>
              <w:t>₹1.5L illustrative SDK budget; risk of app load latency</w:t>
            </w:r>
          </w:p>
        </w:tc>
        <w:tc>
          <w:tcPr>
            <w:tcW w:type="dxa" w:w="2102"/>
            <w:shd w:fill="F2F4F7"/>
            <w:tcMar>
              <w:top w:w="40" w:type="dxa"/>
              <w:bottom w:w="40" w:type="dxa"/>
              <w:left w:w="120" w:type="dxa"/>
              <w:right w:w="120" w:type="dxa"/>
            </w:tcMar>
          </w:tcPr>
          <w:p>
            <w:r>
              <w:rPr>
                <w:sz w:val="16"/>
              </w:rPr>
              <w:t>Low-Device Verification Pass Rate (&gt;85%)</w:t>
            </w:r>
          </w:p>
        </w:tc>
      </w:tr>
      <w:tr>
        <w:tc>
          <w:tcPr>
            <w:tcW w:type="dxa" w:w="2102"/>
            <w:shd w:fill="FFFFFF"/>
            <w:tcMar>
              <w:top w:w="40" w:type="dxa"/>
              <w:bottom w:w="40" w:type="dxa"/>
              <w:left w:w="120" w:type="dxa"/>
              <w:right w:w="120" w:type="dxa"/>
            </w:tcMar>
          </w:tcPr>
          <w:p>
            <w:r>
              <w:rPr>
                <w:sz w:val="16"/>
              </w:rPr>
              <w:t>#2 WhatsApp OCR Name Matching</w:t>
            </w:r>
          </w:p>
        </w:tc>
        <w:tc>
          <w:tcPr>
            <w:tcW w:type="dxa" w:w="2102"/>
            <w:shd w:fill="FFFFFF"/>
            <w:tcMar>
              <w:top w:w="40" w:type="dxa"/>
              <w:bottom w:w="40" w:type="dxa"/>
              <w:left w:w="120" w:type="dxa"/>
              <w:right w:w="120" w:type="dxa"/>
            </w:tcMar>
          </w:tcPr>
          <w:p>
            <w:r>
              <w:rPr>
                <w:sz w:val="16"/>
              </w:rPr>
              <w:t>2,608 name mismatch failures in mature cohort (DL vs Aadhaar initial diffs)</w:t>
            </w:r>
          </w:p>
        </w:tc>
        <w:tc>
          <w:tcPr>
            <w:tcW w:type="dxa" w:w="2102"/>
            <w:shd w:fill="FFFFFF"/>
            <w:tcMar>
              <w:top w:w="40" w:type="dxa"/>
              <w:bottom w:w="40" w:type="dxa"/>
              <w:left w:w="120" w:type="dxa"/>
              <w:right w:w="120" w:type="dxa"/>
            </w:tcMar>
          </w:tcPr>
          <w:p>
            <w:r>
              <w:rPr>
                <w:sz w:val="16"/>
              </w:rPr>
              <w:t>+34 Approved Captains / Month (planning estimate: 25% recovery)</w:t>
            </w:r>
          </w:p>
        </w:tc>
        <w:tc>
          <w:tcPr>
            <w:tcW w:type="dxa" w:w="2102"/>
            <w:shd w:fill="FFFFFF"/>
            <w:tcMar>
              <w:top w:w="40" w:type="dxa"/>
              <w:bottom w:w="40" w:type="dxa"/>
              <w:left w:w="120" w:type="dxa"/>
              <w:right w:w="120" w:type="dxa"/>
            </w:tcMar>
          </w:tcPr>
          <w:p>
            <w:r>
              <w:rPr>
                <w:sz w:val="16"/>
              </w:rPr>
              <w:t>₹0.50 per WhatsApp OTP msg assumption; minor fraud risk</w:t>
            </w:r>
          </w:p>
        </w:tc>
        <w:tc>
          <w:tcPr>
            <w:tcW w:type="dxa" w:w="2102"/>
            <w:shd w:fill="FFFFFF"/>
            <w:tcMar>
              <w:top w:w="40" w:type="dxa"/>
              <w:bottom w:w="40" w:type="dxa"/>
              <w:left w:w="120" w:type="dxa"/>
              <w:right w:w="120" w:type="dxa"/>
            </w:tcMar>
          </w:tcPr>
          <w:p>
            <w:r>
              <w:rPr>
                <w:sz w:val="16"/>
              </w:rPr>
              <w:t>24-hr Name-Mismatch Resolution Rate (&gt;40%)</w:t>
            </w:r>
          </w:p>
        </w:tc>
      </w:tr>
      <w:tr>
        <w:tc>
          <w:tcPr>
            <w:tcW w:type="dxa" w:w="2102"/>
            <w:shd w:fill="F2F4F7"/>
            <w:tcMar>
              <w:top w:w="40" w:type="dxa"/>
              <w:bottom w:w="40" w:type="dxa"/>
              <w:left w:w="120" w:type="dxa"/>
              <w:right w:w="120" w:type="dxa"/>
            </w:tcMar>
          </w:tcPr>
          <w:p>
            <w:r>
              <w:rPr>
                <w:sz w:val="16"/>
              </w:rPr>
              <w:t>#3 Airport Night Return Guarantee</w:t>
            </w:r>
          </w:p>
        </w:tc>
        <w:tc>
          <w:tcPr>
            <w:tcW w:type="dxa" w:w="2102"/>
            <w:shd w:fill="F2F4F7"/>
            <w:tcMar>
              <w:top w:w="40" w:type="dxa"/>
              <w:bottom w:w="40" w:type="dxa"/>
              <w:left w:w="120" w:type="dxa"/>
              <w:right w:w="120" w:type="dxa"/>
            </w:tcMar>
          </w:tcPr>
          <w:p>
            <w:r>
              <w:rPr>
                <w:sz w:val="16"/>
              </w:rPr>
              <w:t>Night airport supply deficit (31.9% fulfillment) &amp; 21.0% suburban cancellations</w:t>
            </w:r>
          </w:p>
        </w:tc>
        <w:tc>
          <w:tcPr>
            <w:tcW w:type="dxa" w:w="2102"/>
            <w:shd w:fill="F2F4F7"/>
            <w:tcMar>
              <w:top w:w="40" w:type="dxa"/>
              <w:bottom w:w="40" w:type="dxa"/>
              <w:left w:w="120" w:type="dxa"/>
              <w:right w:w="120" w:type="dxa"/>
            </w:tcMar>
          </w:tcPr>
          <w:p>
            <w:r>
              <w:rPr>
                <w:sz w:val="16"/>
              </w:rPr>
              <w:t>Target: raise night fulfillment from 31.9% toward 60% (~+9,500 rides/mo goal)</w:t>
            </w:r>
          </w:p>
        </w:tc>
        <w:tc>
          <w:tcPr>
            <w:tcW w:type="dxa" w:w="2102"/>
            <w:shd w:fill="F2F4F7"/>
            <w:tcMar>
              <w:top w:w="40" w:type="dxa"/>
              <w:bottom w:w="40" w:type="dxa"/>
              <w:left w:w="120" w:type="dxa"/>
              <w:right w:w="120" w:type="dxa"/>
            </w:tcMar>
          </w:tcPr>
          <w:p>
            <w:r>
              <w:rPr>
                <w:sz w:val="16"/>
              </w:rPr>
              <w:t>₹150 return guarantee / ₹85 subsidy pilot assumptions</w:t>
            </w:r>
          </w:p>
        </w:tc>
        <w:tc>
          <w:tcPr>
            <w:tcW w:type="dxa" w:w="2102"/>
            <w:shd w:fill="F2F4F7"/>
            <w:tcMar>
              <w:top w:w="40" w:type="dxa"/>
              <w:bottom w:w="40" w:type="dxa"/>
              <w:left w:w="120" w:type="dxa"/>
              <w:right w:w="120" w:type="dxa"/>
            </w:tcMar>
          </w:tcPr>
          <w:p>
            <w:r>
              <w:rPr>
                <w:sz w:val="16"/>
              </w:rPr>
              <w:t>Night Terminal Fulfillment Rate (&gt;60%)</w:t>
            </w:r>
          </w:p>
        </w:tc>
      </w:tr>
    </w:tbl>
    <w:p>
      <w:pPr>
        <w:keepNext/>
        <w:spacing w:before="140" w:after="60"/>
      </w:pPr>
      <w:r>
        <w:rPr>
          <w:rFonts w:ascii="Calibri" w:hAnsi="Calibri"/>
          <w:b/>
          <w:color w:val="1B365D"/>
          <w:sz w:val="23"/>
        </w:rPr>
        <w:t>3. Strategic Executive Decisions</w:t>
      </w:r>
    </w:p>
    <w:p>
      <w:pPr>
        <w:spacing w:before="40" w:after="40"/>
      </w:pPr>
      <w:r>
        <w:rPr>
          <w:b/>
        </w:rPr>
        <w:t xml:space="preserve">Decision 1: CAMP_WA_002 5x Budget Scale Request — </w:t>
      </w:r>
      <w:r>
        <w:rPr>
          <w:b/>
          <w:color w:val="C62828"/>
        </w:rPr>
        <w:t>REJECT IMMEDIATE SCALING / RUN RCT FIRST.</w:t>
      </w:r>
    </w:p>
    <w:p>
      <w:pPr>
        <w:spacing w:after="80"/>
      </w:pPr>
      <w:r>
        <w:t>While CAMP_WA_002 recipients show 28.98% A2O vs 11.21% for non-recipients (+17.78% pts), this difference is observational association driven by selection bias. The nudge was sent exclusively to captains who had already cleared DL and RC. Within recipients, clickers converted at 28.34% vs 29.44% unclicked (no positive incremental evidence from clicking). Scaling 5x before establishing incremental impact creates a material risk of inefficient marketing spend. Causal evidence: insufficient from observational data. Selection-bias diagnosis: strongly supported by the campaign targeting rule. Proposed experiment: run a 14-day RCT with a 15% holdout group before scaling budget.</w:t>
      </w:r>
    </w:p>
    <w:p>
      <w:pPr>
        <w:spacing w:before="40" w:after="40"/>
      </w:pPr>
      <w:r>
        <w:rPr>
          <w:b/>
        </w:rPr>
        <w:t xml:space="preserve">Decision 2: Targeted Airport Captain Acquisition Push — </w:t>
      </w:r>
      <w:r>
        <w:rPr>
          <w:b/>
          <w:color w:val="C62828"/>
        </w:rPr>
        <w:t>NO TO HEADCOUNT ACQUISITION.</w:t>
      </w:r>
    </w:p>
    <w:p>
      <w:pPr>
        <w:spacing w:after="80"/>
      </w:pPr>
      <w:r>
        <w:t>Daytime airport fulfillment is already 86.94% (4.3 min ETA). Unfulfilled rides (46,020) occur strictly between 21:00 and 03:00 (31.91% fulfillment rate). Furthermore, 41.1% of airport trips drop in suburban zones where 83.5% get no return fare, driving 21.0% cancellations. The observed pattern is consistent with deadheading friction reducing the attractiveness of returning to the airport. Hiring general airport captains will not solve night supply. Allocate capital to night-shift return guarantees instead.</w:t>
      </w:r>
    </w:p>
    <w:p>
      <w:pPr>
        <w:keepNext/>
        <w:spacing w:before="140" w:after="60"/>
      </w:pPr>
      <w:r>
        <w:rPr>
          <w:rFonts w:ascii="Calibri" w:hAnsi="Calibri"/>
          <w:b/>
          <w:color w:val="1B365D"/>
          <w:sz w:val="23"/>
        </w:rPr>
        <w:t>4. Key Assumptions &amp; What Would Change the Answer</w:t>
      </w:r>
    </w:p>
    <w:p>
      <w:pPr>
        <w:pStyle w:val="ListBullet"/>
        <w:spacing w:before="20" w:after="40"/>
        <w:ind w:left="288"/>
      </w:pPr>
      <w:r>
        <w:rPr>
          <w:b/>
          <w:color w:val="1B365D"/>
        </w:rPr>
        <w:t xml:space="preserve">June Cohort Maturity: </w:t>
      </w:r>
      <w:r>
        <w:t>We assumed signups from Jan–May 2026 reflect steady-state onboarding performance (100% terminal outcome). If onboarding policies changed in June, baseline A2O may shift.</w:t>
      </w:r>
    </w:p>
    <w:p>
      <w:pPr>
        <w:pStyle w:val="ListBullet"/>
        <w:spacing w:before="20" w:after="40"/>
        <w:ind w:left="288"/>
      </w:pPr>
      <w:r>
        <w:rPr>
          <w:b/>
          <w:color w:val="1B365D"/>
        </w:rPr>
        <w:t xml:space="preserve">Low-Device Planning Model: </w:t>
      </w:r>
      <w:r>
        <w:t>+52 approved caps/month is a base-case scenario assuming 50% recovery of the gap to mid-tier (19.50%). If hardware limits prevent blur-free photos, actual uplift will be closer to the conservative case (+26 caps/month).</w:t>
      </w:r>
    </w:p>
    <w:p>
      <w:pPr>
        <w:pStyle w:val="ListBullet"/>
        <w:spacing w:before="20" w:after="40"/>
        <w:ind w:left="288"/>
      </w:pPr>
      <w:r>
        <w:rPr>
          <w:b/>
          <w:color w:val="1B365D"/>
        </w:rPr>
        <w:t xml:space="preserve">Suburban Night Fare Demand: </w:t>
      </w:r>
      <w:r>
        <w:t>Airport recommendations assume suburban return-fare probability remains low (16.5%). If suburban ride-hailing demand increases at night, deadheading friction will reduce naturally.</w:t>
      </w:r>
    </w:p>
    <w:sectPr w:rsidR="00FC693F" w:rsidRPr="0006063C" w:rsidSect="00034616">
      <w:pgSz w:w="12240" w:h="15840"/>
      <w:pgMar w:top="792" w:right="864" w:bottom="792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82828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