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B365D"/>
          <w:sz w:val="36"/>
        </w:rPr>
        <w:t>Rapido Executive Presentation Deck (6-Slide Document Format)</w:t>
      </w:r>
    </w:p>
    <w:p>
      <w:pPr>
        <w:spacing w:before="200" w:after="80"/>
      </w:pPr>
      <w:r>
        <w:rPr>
          <w:rFonts w:ascii="Calibri" w:hAnsi="Calibri"/>
          <w:b/>
          <w:color w:val="1B365D"/>
          <w:sz w:val="28"/>
        </w:rPr>
        <w:t>Slide 1: Executive Summary</w:t>
      </w:r>
    </w:p>
    <w:p>
      <w:pPr>
        <w:spacing w:after="160"/>
      </w:pPr>
      <w:r>
        <w:rPr>
          <w:rFonts w:ascii="Calibri" w:hAnsi="Calibri"/>
          <w:color w:val="282828"/>
          <w:sz w:val="19"/>
        </w:rPr>
        <w:t>• Baseline Mature A2O Conversion: 17.48% (Jan–May 2026, N=20,207 signups). Corrected for June right-censoring.</w:t>
        <w:br/>
        <w:t>• Top Onboarding Volume Leak: Registration Certificate (RC) - 4,887 captains lost (29.3% total loss).</w:t>
        <w:br/>
        <w:t>• Biggest Fixable Leak: Low-device photo blur / OCR failures (5,568 failures, 62.86% of low-device failures). Uplift: +52 approved captains/month base-case planning estimate.</w:t>
        <w:br/>
        <w:t>• CAMP_WA_002 Verdict: REJECT immediate 5x budget scale. Lift (+17.8%) is selection bias (DL/RC already cleared). Within-recipient diagnostic: clickers converted lower (-1.09% pts).</w:t>
        <w:br/>
        <w:t>• Airport Decision: REJECT targeted acquisition push. Night fulfillment is 31.91% (21:00–03:00); 41.1% suburban drops cause 21% cancellations due to deadheading friction.</w:t>
      </w:r>
    </w:p>
    <w:p>
      <w:pPr>
        <w:spacing w:before="200" w:after="80"/>
      </w:pPr>
      <w:r>
        <w:rPr>
          <w:rFonts w:ascii="Calibri" w:hAnsi="Calibri"/>
          <w:b/>
          <w:color w:val="1B365D"/>
          <w:sz w:val="28"/>
        </w:rPr>
        <w:t>Slide 2: Captain Onboarding Funnel</w:t>
      </w:r>
    </w:p>
    <w:p>
      <w:pPr>
        <w:spacing w:after="160"/>
      </w:pPr>
      <w:r>
        <w:rPr>
          <w:rFonts w:ascii="Calibri" w:hAnsi="Calibri"/>
          <w:color w:val="282828"/>
          <w:sz w:val="19"/>
        </w:rPr>
        <w:t>• Cohort Maturity: 1,297 in-progress signups all in June. Approvals take 6.42 days. Jan–May mature cohort gives true 17.48% baseline.</w:t>
        <w:br/>
        <w:t>• Funnel Progression: Signup (20,207) -&gt; DL (17,895, 88.6%) -&gt; RC (13,008, 72.7%, -4,887 lost) -&gt; Aadhaar (11,631, 89.4%) -&gt; Permit (8,743, 75.2%) -&gt; Fitness (6,191, 70.8%) -&gt; Insurance (3,888, 62.8%) -&gt; Approved (3,532, 17.5%).</w:t>
        <w:br/>
        <w:t>• Volume vs Percentage: RC is largest absolute volume loss (-4,887); Fitness/Insurance is lowest percentage conversion (62.8%).</w:t>
      </w:r>
    </w:p>
    <w:p>
      <w:pPr>
        <w:spacing w:before="200" w:after="80"/>
      </w:pPr>
      <w:r>
        <w:rPr>
          <w:rFonts w:ascii="Calibri" w:hAnsi="Calibri"/>
          <w:b/>
          <w:color w:val="1B365D"/>
          <w:sz w:val="28"/>
        </w:rPr>
        <w:t>Slide 3: Biggest Fixable Leak — Low-Device Document Capture</w:t>
      </w:r>
    </w:p>
    <w:p>
      <w:pPr>
        <w:spacing w:after="160"/>
      </w:pPr>
      <w:r>
        <w:rPr>
          <w:rFonts w:ascii="Calibri" w:hAnsi="Calibri"/>
          <w:color w:val="282828"/>
          <w:sz w:val="19"/>
        </w:rPr>
        <w:t>• Segment Size: 9,290 low-device signups (46.0% of mature cohort).</w:t>
        <w:br/>
        <w:t>• Conversion Gap: Low-device conversion is 13.95% vs 19.50% mid-tier and 22.88% high-tier (5.55% pts deficit).</w:t>
        <w:br/>
        <w:t>• Audited Root Cause: Camera blur (2,573), OCR low confidence (2,041), details unreadable (954) = 5,568 failures (62.86% of 8,858 low-device failures).</w:t>
        <w:br/>
        <w:t>• Uplift Sensitivity: Conservative (+26 caps/mo), Base Case (+52 caps/mo bridging 50% gap), Upside (+103 caps/mo). Labeled as planning estimates.</w:t>
      </w:r>
    </w:p>
    <w:p>
      <w:pPr>
        <w:spacing w:before="200" w:after="80"/>
      </w:pPr>
      <w:r>
        <w:rPr>
          <w:rFonts w:ascii="Calibri" w:hAnsi="Calibri"/>
          <w:b/>
          <w:color w:val="1B365D"/>
          <w:sz w:val="28"/>
        </w:rPr>
        <w:t>Slide 4: Campaign CAMP_WA_002 Causal Evaluation</w:t>
      </w:r>
    </w:p>
    <w:p>
      <w:pPr>
        <w:spacing w:after="160"/>
      </w:pPr>
      <w:r>
        <w:rPr>
          <w:rFonts w:ascii="Calibri" w:hAnsi="Calibri"/>
          <w:color w:val="282828"/>
          <w:sz w:val="19"/>
        </w:rPr>
        <w:t>• Observed Association: Recipients (28.98%) vs Non-recipients (11.21%) = +17.78% pts raw diff.</w:t>
        <w:br/>
        <w:t>• Selection Bias: CAMP_WA_002 sent ONLY to captains who cleared DL &amp; RC. Non-recipients included all early drop-offs.</w:t>
        <w:br/>
        <w:t>• Within-Recipient Diagnostic: Clickers (28.34%) converted LOWER than non-clickers (29.44%) (-1.09% pts).</w:t>
        <w:br/>
        <w:t>• Decision: Reject 5x budget scale. Causal evidence: insufficient from observational data. Selection-bias diagnosis: strongly supported by the campaign targeting rule. Proposed experiment: 14-day RCT with 15% holdout group.</w:t>
      </w:r>
    </w:p>
    <w:p>
      <w:pPr>
        <w:spacing w:before="200" w:after="80"/>
      </w:pPr>
      <w:r>
        <w:rPr>
          <w:rFonts w:ascii="Calibri" w:hAnsi="Calibri"/>
          <w:b/>
          <w:color w:val="1B365D"/>
          <w:sz w:val="28"/>
        </w:rPr>
        <w:t>Slide 5: Airport Demand-Supply &amp; Post-Trip Dispersal</w:t>
      </w:r>
    </w:p>
    <w:p>
      <w:pPr>
        <w:spacing w:after="160"/>
      </w:pPr>
      <w:r>
        <w:rPr>
          <w:rFonts w:ascii="Calibri" w:hAnsi="Calibri"/>
          <w:color w:val="282828"/>
          <w:sz w:val="19"/>
        </w:rPr>
        <w:t>• Mismatch: Daytime fulfillment is 86.94% (4.3 min ETA). Night peak (21:00–03:00) fulfillment collapses to 31.91% (46,020 unfulfilled rides, 83.6% total unfulfilled).</w:t>
        <w:br/>
        <w:t>• Post-Trip Dispersal: 41.1% airport trips drop in suburban zones. 83.5% get NO return fare within 20 min.</w:t>
        <w:br/>
        <w:t>• Deadheading Friction: Captains cancel 21.0% of suburban trips. Observed pattern is consistent with deadheading friction reducing return attractiveness.</w:t>
        <w:br/>
        <w:t>• Decision: NO to headcount push. Implement night-shift return guarantees instead.</w:t>
      </w:r>
    </w:p>
    <w:p>
      <w:pPr>
        <w:spacing w:before="200" w:after="80"/>
      </w:pPr>
      <w:r>
        <w:rPr>
          <w:rFonts w:ascii="Calibri" w:hAnsi="Calibri"/>
          <w:b/>
          <w:color w:val="1B365D"/>
          <w:sz w:val="28"/>
        </w:rPr>
        <w:t>Slide 6: Ranked Operational Recommendations</w:t>
      </w:r>
    </w:p>
    <w:p>
      <w:pPr>
        <w:spacing w:after="160"/>
      </w:pPr>
      <w:r>
        <w:rPr>
          <w:rFonts w:ascii="Calibri" w:hAnsi="Calibri"/>
          <w:color w:val="282828"/>
          <w:sz w:val="19"/>
        </w:rPr>
        <w:t>• Rec #1: Low-Device Auto-Blur SDK -&gt; Impact: +52 Approved Captains / Month (Base Case). Illustrative pilot cost: ₹1.5L. Metric: Low-device pass rate (&gt;85%).</w:t>
        <w:br/>
        <w:t>• Rec #2: WhatsApp OCR Name-Fix Bot -&gt; Impact: +34 Approved Captains / Month. Illustrative pilot cost: ₹0.50/msg. Metric: 24-hr name resolution (&gt;40%).</w:t>
        <w:br/>
        <w:t>• Rec #3: Airport Night Return Guarantee -&gt; Target Opportunity Goal: Raise night fulfillment from 31.9% toward 60% (~+9,500 rides/mo goal). Illustrative pilot cost: ₹150 guarantee / ₹85 subsidy. Metric: Night fulfillment (&gt;60%).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