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b/>
          <w:bCs/>
          <w:color w:val="1F3864"/>
          <w:sz w:val="32"/>
          <w:szCs w:val="32"/>
        </w:rPr>
        <w:t xml:space="preserve">ATLAS QUALITY PARTNERS</w:t>
      </w:r>
    </w:p>
    <w:p>
      <w:pPr>
        <w:spacing w:after="800"/>
        <w:jc w:val="center"/>
      </w:pPr>
      <w:r>
        <w:rPr>
          <w:i/>
          <w:iCs/>
          <w:color w:val="595959"/>
          <w:sz w:val="22"/>
          <w:szCs w:val="22"/>
        </w:rPr>
        <w:t xml:space="preserve">Services de test logiciel &amp; audit de sécurité applicative</w:t>
      </w:r>
    </w:p>
    <w:p>
      <w:pPr>
        <w:spacing w:after="200"/>
        <w:jc w:val="center"/>
      </w:pPr>
      <w:r>
        <w:rPr>
          <w:b/>
          <w:bCs/>
          <w:sz w:val="40"/>
          <w:szCs w:val="40"/>
        </w:rPr>
        <w:t xml:space="preserve">CONTRAT DE PRESTATION DE SERVICES</w:t>
      </w:r>
    </w:p>
    <w:p>
      <w:pPr>
        <w:spacing w:after="1200"/>
        <w:jc w:val="center"/>
      </w:pPr>
      <w:r>
        <w:rPr>
          <w:b/>
          <w:bCs/>
          <w:color w:val="1F3864"/>
          <w:sz w:val="26"/>
          <w:szCs w:val="26"/>
        </w:rPr>
        <w:t xml:space="preserve">AUDIT DE SÉCURITÉ INFORMATIQUE ET TESTS D'INTRUSION</w:t>
      </w:r>
    </w:p>
    <w:p>
      <w:pPr>
        <w:spacing w:after="80"/>
        <w:jc w:val="center"/>
      </w:pPr>
      <w:r>
        <w:rPr>
          <w:i/>
          <w:iCs/>
          <w:sz w:val="21"/>
          <w:szCs w:val="21"/>
        </w:rPr>
        <w:t xml:space="preserve">Entre les soussignés :</w:t>
      </w:r>
    </w:p>
    <w:p>
      <w:pPr>
        <w:spacing w:after="40"/>
        <w:jc w:val="center"/>
      </w:pPr>
      <w:r>
        <w:rPr>
          <w:sz w:val="21"/>
          <w:szCs w:val="21"/>
        </w:rPr>
        <w:t xml:space="preserve">ATLAS QUALITY PARTNERS, ci-après « le Prestataire »</w:t>
      </w:r>
    </w:p>
    <w:p>
      <w:pPr>
        <w:spacing w:after="40"/>
        <w:jc w:val="center"/>
      </w:pPr>
      <w:r>
        <w:rPr>
          <w:sz w:val="21"/>
          <w:szCs w:val="21"/>
        </w:rPr>
        <w:t xml:space="preserve">et</w:t>
      </w:r>
    </w:p>
    <w:p>
      <w:pPr>
        <w:spacing w:after="1600"/>
        <w:jc w:val="center"/>
      </w:pPr>
      <w:r>
        <w:rPr>
          <w:sz w:val="21"/>
          <w:szCs w:val="21"/>
        </w:rPr>
        <w:t>{nom_client}, ci-après « le Client »</w:t>
      </w:r>
    </w:p>
    <w:p>
      <w:pPr>
        <w:jc w:val="center"/>
      </w:pPr>
      <w:r>
        <w:rPr>
          <w:i/>
          <w:iCs/>
          <w:color w:val="C00000"/>
          <w:sz w:val="18"/>
          <w:szCs w:val="18"/>
        </w:rPr>
        <w:t xml:space="preserve">Document type — à faire relire par un avocat avant signature</w:t>
      </w:r>
    </w:p>
    <w:p>
      <w:r>
        <w:br w:type="page"/>
      </w:r>
    </w:p>
    <w:p>
      <w:pPr>
        <w:pStyle w:val="Heading1"/>
        <w:spacing w:after="160" w:before="320"/>
      </w:pPr>
      <w:r>
        <w:rPr>
          <w:b/>
          <w:bCs/>
          <w:color w:val="1F3864"/>
          <w:sz w:val="26"/>
          <w:szCs w:val="26"/>
        </w:rPr>
        <w:t xml:space="preserve">PRÉAMBULE</w:t>
      </w:r>
    </w:p>
    <w:p>
      <w:pPr>
        <w:spacing w:after="140" w:line="300"/>
      </w:pPr>
      <w:r>
        <w:rPr>
          <w:sz w:val="21"/>
          <w:szCs w:val="21"/>
        </w:rPr>
        <w:t xml:space="preserve">Le Prestataire est spécialisé dans les services de qualité logicielle, de test d'applications et d'audit de sécurité informatique (vulnérabilités applicatives et infrastructures). Il intervient notamment via des ingénieurs qualité et des ingénieurs cybersécurité, salariés, freelances ou sous-traitants, mobilisés en propre ou en mode nearshore/à distance.</w:t>
      </w:r>
    </w:p>
    <w:p>
      <w:pPr>
        <w:spacing w:after="140" w:line="300"/>
      </w:pPr>
      <w:r>
        <w:rPr>
          <w:sz w:val="21"/>
          <w:szCs w:val="21"/>
        </w:rPr>
        <w:t xml:space="preserve">Le Client souhaite faire réaliser un audit de sécurité (scan de vulnérabilités automatisé assisté par intelligence artificielle et/ou test d'intrusion) sur un ou plusieurs systèmes, sites web ou applications lui appartenant ou dont il a la maîtrise juridique, dans le but d'identifier des failles de sécurité et, le cas échéant, de bénéficier d'un accompagnement à leur correction.</w:t>
      </w:r>
    </w:p>
    <w:p>
      <w:pPr>
        <w:spacing w:after="140" w:line="300"/>
      </w:pPr>
      <w:r>
        <w:rPr>
          <w:sz w:val="21"/>
          <w:szCs w:val="21"/>
        </w:rPr>
        <w:t xml:space="preserve">Les Parties reconnaissent que ce type de prestation implique un accès à des systèmes d'information sensibles et conviennent en conséquence d'un cadre contractuel strict, notamment quant au périmètre autorisé, à la confidentialité et à la répartition des responsabilités.</w:t>
      </w:r>
    </w:p>
    <w:p>
      <w:pPr>
        <w:spacing w:after="140" w:line="300"/>
      </w:pPr>
      <w:r>
        <w:rPr>
          <w:sz w:val="21"/>
          <w:szCs w:val="21"/>
        </w:rPr>
        <w:t xml:space="preserve">Ceci exposé, il a été convenu ce qui suit :</w:t>
      </w:r>
    </w:p>
    <w:p>
      <w:pPr>
        <w:spacing w:after="120" w:before="260"/>
      </w:pPr>
      <w:r>
        <w:rPr>
          <w:b/>
          <w:bCs/>
          <w:color w:val="1F3864"/>
          <w:sz w:val="22"/>
          <w:szCs w:val="22"/>
        </w:rPr>
        <w:t xml:space="preserve">ARTICLE PRÉLIMINAIRE – CADRE LÉGAL APPLICABLE</w:t>
      </w:r>
    </w:p>
    <w:p>
      <w:pPr>
        <w:spacing w:after="140" w:line="300"/>
      </w:pPr>
      <w:r>
        <w:rPr>
          <w:sz w:val="21"/>
          <w:szCs w:val="21"/>
        </w:rPr>
        <w:t xml:space="preserve">Les Parties reconnaissent que la présente prestation s'inscrit dans le cadre juridique suivant, dont le respect conditionne la licéité des opérations réalisées :</w:t>
      </w:r>
    </w:p>
    <w:p>
      <w:pPr>
        <w:pStyle w:val="ListParagraph"/>
        <w:numPr>
          <w:ilvl w:val="0"/>
          <w:numId w:val="1"/>
        </w:numPr>
        <w:spacing w:after="80" w:line="280"/>
      </w:pPr>
      <w:r>
        <w:rPr>
          <w:sz w:val="21"/>
          <w:szCs w:val="21"/>
        </w:rPr>
        <w:t xml:space="preserve">Articles 323-1 à 323-7 du Code pénal, qui répriment l'accès et le maintien frauduleux dans un système de traitement automatisé de données (STAD) ; l'autorisation écrite préalable du Client visée à l'Article 2 constitue le fait justificatif exonérant le Prestataire de toute qualification pénale sur le périmètre couvert ;</w:t>
      </w:r>
    </w:p>
    <w:p>
      <w:pPr>
        <w:pStyle w:val="ListParagraph"/>
        <w:numPr>
          <w:ilvl w:val="0"/>
          <w:numId w:val="1"/>
        </w:numPr>
        <w:spacing w:after="80" w:line="280"/>
      </w:pPr>
      <w:r>
        <w:rPr>
          <w:sz w:val="21"/>
          <w:szCs w:val="21"/>
        </w:rPr>
        <w:t xml:space="preserve">Règlement (UE) 2016/679 du 27 avril 2016 (RGPD) et loi n° 78-17 du 6 janvier 1978 modifiée : lorsque le périmètre audité comporte des données à caractère personnel, le Prestataire agit en qualité de sous-traitant au sens de l'article 28 du RGPD ; un accord de sous-traitance RGPD (Annexe 3) est alors conclu entre les Parties, précisant la nature, la finalité, la durée du traitement et les mesures de sécurité de l'article 32 ;</w:t>
      </w:r>
    </w:p>
    <w:p>
      <w:pPr>
        <w:pStyle w:val="ListParagraph"/>
        <w:numPr>
          <w:ilvl w:val="0"/>
          <w:numId w:val="1"/>
        </w:numPr>
        <w:spacing w:after="80" w:line="280"/>
      </w:pPr>
      <w:r>
        <w:rPr>
          <w:sz w:val="21"/>
          <w:szCs w:val="21"/>
        </w:rPr>
        <w:t xml:space="preserve">Articles 33 et 34 du RGPD relatifs à la notification des violations de données : toute violation constatée pendant la mission est notifiée par le Prestataire au Client dans un délai maximal de 24 heures à compter de sa découverte, afin de permettre au Client de respecter le délai de 72 heures applicable vis-à-vis de la CNIL ;</w:t>
      </w:r>
    </w:p>
    <w:p>
      <w:pPr>
        <w:pStyle w:val="ListParagraph"/>
        <w:numPr>
          <w:ilvl w:val="0"/>
          <w:numId w:val="1"/>
        </w:numPr>
        <w:spacing w:after="80" w:line="280"/>
      </w:pPr>
      <w:r>
        <w:rPr>
          <w:sz w:val="21"/>
          <w:szCs w:val="21"/>
        </w:rPr>
        <w:t xml:space="preserve">Directive (UE) 2022/2555 dite « NIS 2 » et son droit de transposition national, pour les Clients relevant d'un secteur régulé ou d'une chaîne d'approvisionnement d'entité essentielle ou importante ;</w:t>
      </w:r>
    </w:p>
    <w:p>
      <w:pPr>
        <w:pStyle w:val="ListParagraph"/>
        <w:numPr>
          <w:ilvl w:val="0"/>
          <w:numId w:val="1"/>
        </w:numPr>
        <w:spacing w:after="80" w:line="280"/>
      </w:pPr>
      <w:r>
        <w:rPr>
          <w:sz w:val="21"/>
          <w:szCs w:val="21"/>
        </w:rPr>
        <w:t xml:space="preserve">Référentiel d'exigences PASSI (Prestataires d'Audit de la Sécurité des Systèmes d'Information) de l'ANSSI : à titre indicatif et sauf qualification formelle du Prestataire, la méthodologie appliquée s'en inspire (cadrage, audit, préconisations, restitution) ;</w:t>
      </w:r>
    </w:p>
    <w:p>
      <w:pPr>
        <w:pStyle w:val="ListParagraph"/>
        <w:numPr>
          <w:ilvl w:val="0"/>
          <w:numId w:val="1"/>
        </w:numPr>
        <w:spacing w:after="80" w:line="280"/>
      </w:pPr>
      <w:r>
        <w:rPr>
          <w:sz w:val="21"/>
          <w:szCs w:val="21"/>
        </w:rPr>
        <w:t xml:space="preserve">Loi n° 2004-575 du 21 juin 2004 pour la confiance dans l'économie numérique (LCEN) ;</w:t>
      </w:r>
    </w:p>
    <w:p>
      <w:pPr>
        <w:pStyle w:val="ListParagraph"/>
        <w:numPr>
          <w:ilvl w:val="0"/>
          <w:numId w:val="1"/>
        </w:numPr>
        <w:spacing w:after="80" w:line="280"/>
      </w:pPr>
      <w:r>
        <w:rPr>
          <w:sz w:val="21"/>
          <w:szCs w:val="21"/>
        </w:rPr>
        <w:t xml:space="preserve">Articles L. 151-1 et suivants du Code de commerce sur la protection du secret des affaires, s'agissant des informations échangées à ce titre.</w:t>
      </w:r>
    </w:p>
    <w:p>
      <w:pPr>
        <w:spacing w:after="140" w:line="300"/>
      </w:pPr>
      <w:r>
        <w:rPr>
          <w:sz w:val="21"/>
          <w:szCs w:val="21"/>
        </w:rPr>
        <w:t xml:space="preserve">En cas de sous-traitance internationale (notamment ingénieurs mobilisés hors Union européenne), le Prestataire garantit la mise en place d'un mécanisme de transfert conforme au Chapitre V du RGPD (clauses contractuelles types de la Commission européenne ou équivalent), détaillé à l'Annexe 3.</w:t>
      </w:r>
    </w:p>
    <w:p>
      <w:pPr>
        <w:spacing w:after="120" w:before="260"/>
      </w:pPr>
      <w:r>
        <w:rPr>
          <w:b/>
          <w:bCs/>
          <w:color w:val="1F3864"/>
          <w:sz w:val="22"/>
          <w:szCs w:val="22"/>
        </w:rPr>
        <w:t xml:space="preserve">ARTICLE 1 – OBJET DU CONTRAT</w:t>
      </w:r>
    </w:p>
    <w:p>
      <w:pPr>
        <w:spacing w:after="140" w:line="300"/>
      </w:pPr>
      <w:r>
        <w:rPr>
          <w:sz w:val="21"/>
          <w:szCs w:val="21"/>
        </w:rPr>
        <w:t xml:space="preserve">Le présent contrat a pour objet de définir les conditions dans lesquelles le Prestataire réalise, au bénéfice du Client, une prestation d'audit de sécurité informatique pouvant comprendre :</w:t>
      </w:r>
    </w:p>
    <w:p>
      <w:pPr>
        <w:pStyle w:val="ListParagraph"/>
        <w:numPr>
          <w:ilvl w:val="0"/>
          <w:numId w:val="1"/>
        </w:numPr>
        <w:spacing w:after="80" w:line="280"/>
      </w:pPr>
      <w:r>
        <w:rPr>
          <w:sz w:val="21"/>
          <w:szCs w:val="21"/>
        </w:rPr>
        <w:t xml:space="preserve">un scan automatisé de vulnérabilités assisté par intelligence artificielle sur le ou les périmètres définis à l'Annexe 1 (Périmètre d'audit) ;</w:t>
      </w:r>
    </w:p>
    <w:p>
      <w:pPr>
        <w:pStyle w:val="ListParagraph"/>
        <w:numPr>
          <w:ilvl w:val="0"/>
          <w:numId w:val="1"/>
        </w:numPr>
        <w:spacing w:after="80" w:line="280"/>
      </w:pPr>
      <w:r>
        <w:rPr>
          <w:sz w:val="21"/>
          <w:szCs w:val="21"/>
        </w:rPr>
        <w:t xml:space="preserve">une analyse et une validation manuelle des résultats par un ingénieur cybersécurité qualifié, afin d'écarter les faux positifs ;</w:t>
      </w:r>
    </w:p>
    <w:p>
      <w:pPr>
        <w:pStyle w:val="ListParagraph"/>
        <w:numPr>
          <w:ilvl w:val="0"/>
          <w:numId w:val="1"/>
        </w:numPr>
        <w:spacing w:after="80" w:line="280"/>
      </w:pPr>
      <w:r>
        <w:rPr>
          <w:sz w:val="21"/>
          <w:szCs w:val="21"/>
        </w:rPr>
        <w:t xml:space="preserve">la remise d'un rapport détaillé classant les failles identifiées par niveau de criticité (méthodologie CVSS ou équivalente) ;</w:t>
      </w:r>
    </w:p>
    <w:p>
      <w:pPr>
        <w:pStyle w:val="ListParagraph"/>
        <w:numPr>
          <w:ilvl w:val="0"/>
          <w:numId w:val="1"/>
        </w:numPr>
        <w:spacing w:after="80" w:line="280"/>
      </w:pPr>
      <w:r>
        <w:rPr>
          <w:sz w:val="21"/>
          <w:szCs w:val="21"/>
        </w:rPr>
        <w:t xml:space="preserve">le cas échéant, une prestation de conseil et/ou d'accompagnement à la correction des failles identifiées, faisant l'objet d'un devis distinct.</w:t>
      </w:r>
    </w:p>
    <w:p>
      <w:pPr>
        <w:spacing w:after="140" w:line="300"/>
      </w:pPr>
      <w:r>
        <w:rPr>
          <w:sz w:val="21"/>
          <w:szCs w:val="21"/>
        </w:rPr>
        <w:t xml:space="preserve">Le détail des prestations, le calendrier et le prix figurent au(x) devis / bon(s) de commande signé(s) par les Parties, qui font partie intégrante du présent contrat.</w:t>
      </w:r>
    </w:p>
    <w:p>
      <w:pPr>
        <w:spacing w:after="120" w:before="260"/>
      </w:pPr>
      <w:r>
        <w:rPr>
          <w:b/>
          <w:bCs/>
          <w:color w:val="1F3864"/>
          <w:sz w:val="22"/>
          <w:szCs w:val="22"/>
        </w:rPr>
        <w:t xml:space="preserve">ARTICLE 2 – PÉRIMÈTRE AUTORISÉ ET AUTORISATION PRÉALABLE ÉCRITE</w:t>
      </w:r>
    </w:p>
    <w:p>
      <w:pPr>
        <w:spacing w:after="140" w:line="300"/>
      </w:pPr>
      <w:r>
        <w:rPr>
          <w:sz w:val="21"/>
          <w:szCs w:val="21"/>
        </w:rPr>
        <w:t xml:space="preserve">Le Client déclare et garantit être propriétaire, ou dûment habilité par le propriétaire, des systèmes, domaines, adresses IP, applications et environnements listés en Annexe 1, et autorise expressément le Prestataire, ainsi que les ingénieurs qu'il mandate, à réaliser sur ce périmètre exclusif les opérations de scan et de test décrites à l'Article 1.</w:t>
      </w:r>
    </w:p>
    <w:p>
      <w:pPr>
        <w:spacing w:after="140" w:line="300"/>
      </w:pPr>
      <w:r>
        <w:rPr>
          <w:sz w:val="21"/>
          <w:szCs w:val="21"/>
        </w:rPr>
        <w:t xml:space="preserve">Aucune opération de scan, de test d'intrusion ou d'exploitation de vulnérabilité ne peut être réalisée en dehors du périmètre strictement défini en Annexe 1. Toute extension de périmètre en cours de mission doit faire l'objet d'un avenant écrit et signé avant toute intervention.</w:t>
      </w:r>
    </w:p>
    <w:p>
      <w:pPr>
        <w:spacing w:after="140" w:line="300"/>
      </w:pPr>
      <w:r>
        <w:rPr>
          <w:sz w:val="21"/>
          <w:szCs w:val="21"/>
        </w:rPr>
        <w:t xml:space="preserve">Le Client s'engage à fournir au Prestataire, avant le démarrage de toute mission, une lettre d'autorisation (« get-out-of-jail letter ») signée par une personne habilitée, couvrant la période et le périmètre de la mission, que le Prestataire pourra produire en cas de déclenchement d'une alerte de sécurité par un tiers (hébergeur, FAI, autorité) pendant la mission.</w:t>
      </w:r>
    </w:p>
    <w:p>
      <w:pPr>
        <w:spacing w:after="140" w:line="300"/>
      </w:pPr>
      <w:r>
        <w:rPr>
          <w:sz w:val="21"/>
          <w:szCs w:val="21"/>
        </w:rPr>
        <w:t xml:space="preserve">Le Client garantit disposer de tous les droits nécessaires vis-à-vis de ses propres sous-traitants et hébergeurs (cloud, CDN, etc.) pour autoriser cette intervention, et l'en tient informé le cas échéant.</w:t>
      </w:r>
    </w:p>
    <w:p>
      <w:pPr>
        <w:spacing w:after="120" w:before="260"/>
      </w:pPr>
      <w:r>
        <w:rPr>
          <w:b/>
          <w:bCs/>
          <w:color w:val="1F3864"/>
          <w:sz w:val="22"/>
          <w:szCs w:val="22"/>
        </w:rPr>
        <w:t xml:space="preserve">ARTICLE 3 – MODALITÉS D'EXÉCUTION</w:t>
      </w:r>
    </w:p>
    <w:p>
      <w:pPr>
        <w:spacing w:after="140" w:line="300"/>
      </w:pPr>
      <w:r>
        <w:rPr>
          <w:sz w:val="21"/>
          <w:szCs w:val="21"/>
        </w:rPr>
        <w:t xml:space="preserve">Les prestations sont réalisées selon le calendrier défini dans le devis, en dehors ou pendant les heures ouvrées selon accord préalable des Parties, notamment lorsque des tests actifs sont susceptibles d'affecter la disponibilité des systèmes du Client.</w:t>
      </w:r>
    </w:p>
    <w:p>
      <w:pPr>
        <w:spacing w:after="140" w:line="300"/>
      </w:pPr>
      <w:r>
        <w:rPr>
          <w:sz w:val="21"/>
          <w:szCs w:val="21"/>
        </w:rPr>
        <w:t xml:space="preserve">Un point de contact technique est désigné par chaque Partie. Le Client s'engage à assurer la disponibilité de son point de contact pendant toute la durée de la mission, notamment pour la gestion d'un incident.</w:t>
      </w:r>
    </w:p>
    <w:p>
      <w:pPr>
        <w:spacing w:after="140" w:line="300"/>
      </w:pPr>
      <w:r>
        <w:rPr>
          <w:sz w:val="21"/>
          <w:szCs w:val="21"/>
        </w:rPr>
        <w:t xml:space="preserve">Le Prestataire informe sans délai le Client de toute faille présentant un caractère critique ou activement exploitée, sans attendre la remise du rapport final.</w:t>
      </w:r>
    </w:p>
    <w:p>
      <w:pPr>
        <w:spacing w:after="120" w:before="260"/>
      </w:pPr>
      <w:r>
        <w:rPr>
          <w:b/>
          <w:bCs/>
          <w:color w:val="1F3864"/>
          <w:sz w:val="22"/>
          <w:szCs w:val="22"/>
        </w:rPr>
        <w:t xml:space="preserve">ARTICLE 4 – OBLIGATIONS DU PRESTATAIRE</w:t>
      </w:r>
    </w:p>
    <w:p>
      <w:pPr>
        <w:spacing w:after="140" w:line="300"/>
      </w:pPr>
      <w:r>
        <w:rPr>
          <w:sz w:val="21"/>
          <w:szCs w:val="21"/>
        </w:rPr>
        <w:t xml:space="preserve">Le Prestataire s'engage à :</w:t>
      </w:r>
    </w:p>
    <w:p>
      <w:pPr>
        <w:pStyle w:val="ListParagraph"/>
        <w:numPr>
          <w:ilvl w:val="0"/>
          <w:numId w:val="1"/>
        </w:numPr>
        <w:spacing w:after="80" w:line="280"/>
      </w:pPr>
      <w:r>
        <w:rPr>
          <w:sz w:val="21"/>
          <w:szCs w:val="21"/>
        </w:rPr>
        <w:t xml:space="preserve">exécuter la prestation avec diligence et selon les règles de l'art de la profession (méthodologies reconnues telles que OWASP Testing Guide, PTES, ou équivalent) ;</w:t>
      </w:r>
    </w:p>
    <w:p>
      <w:pPr>
        <w:pStyle w:val="ListParagraph"/>
        <w:numPr>
          <w:ilvl w:val="0"/>
          <w:numId w:val="1"/>
        </w:numPr>
        <w:spacing w:after="80" w:line="280"/>
      </w:pPr>
      <w:r>
        <w:rPr>
          <w:sz w:val="21"/>
          <w:szCs w:val="21"/>
        </w:rPr>
        <w:t xml:space="preserve">mobiliser des ingénieurs disposant des compétences et, si le contrat le prévoit, des certifications requises (ex. OSCP, CEH, CRTP ou équivalent) ;</w:t>
      </w:r>
    </w:p>
    <w:p>
      <w:pPr>
        <w:pStyle w:val="ListParagraph"/>
        <w:numPr>
          <w:ilvl w:val="0"/>
          <w:numId w:val="1"/>
        </w:numPr>
        <w:spacing w:after="80" w:line="280"/>
      </w:pPr>
      <w:r>
        <w:rPr>
          <w:sz w:val="21"/>
          <w:szCs w:val="21"/>
        </w:rPr>
        <w:t xml:space="preserve">respecter strictement le périmètre défini à l'Article 2 ;</w:t>
      </w:r>
    </w:p>
    <w:p>
      <w:pPr>
        <w:pStyle w:val="ListParagraph"/>
        <w:numPr>
          <w:ilvl w:val="0"/>
          <w:numId w:val="1"/>
        </w:numPr>
        <w:spacing w:after="80" w:line="280"/>
      </w:pPr>
      <w:r>
        <w:rPr>
          <w:sz w:val="21"/>
          <w:szCs w:val="21"/>
        </w:rPr>
        <w:t xml:space="preserve">mettre en œuvre des mesures de sécurité renforcées pour la collecte, le traitement, le stockage et la transmission des résultats d'audit, conformément à l'Article 7 ;</w:t>
      </w:r>
    </w:p>
    <w:p>
      <w:pPr>
        <w:pStyle w:val="ListParagraph"/>
        <w:numPr>
          <w:ilvl w:val="0"/>
          <w:numId w:val="1"/>
        </w:numPr>
        <w:spacing w:after="80" w:line="280"/>
      </w:pPr>
      <w:r>
        <w:rPr>
          <w:sz w:val="21"/>
          <w:szCs w:val="21"/>
        </w:rPr>
        <w:t xml:space="preserve">souscrire et maintenir en cours de validité une assurance responsabilité civile professionnelle couvrant son activité d'audit de sécurité et de tests d'intrusion ;</w:t>
      </w:r>
    </w:p>
    <w:p>
      <w:pPr>
        <w:pStyle w:val="ListParagraph"/>
        <w:numPr>
          <w:ilvl w:val="0"/>
          <w:numId w:val="1"/>
        </w:numPr>
        <w:spacing w:after="80" w:line="280"/>
      </w:pPr>
      <w:r>
        <w:rPr>
          <w:sz w:val="21"/>
          <w:szCs w:val="21"/>
        </w:rPr>
        <w:t xml:space="preserve">remettre un rapport écrit conforme aux livrables définis au devis.</w:t>
      </w:r>
    </w:p>
    <w:p>
      <w:pPr>
        <w:spacing w:after="120" w:before="260"/>
      </w:pPr>
      <w:r>
        <w:rPr>
          <w:b/>
          <w:bCs/>
          <w:color w:val="1F3864"/>
          <w:sz w:val="22"/>
          <w:szCs w:val="22"/>
        </w:rPr>
        <w:t xml:space="preserve">ARTICLE 5 – OBLIGATIONS ET GARANTIES DU CLIENT</w:t>
      </w:r>
    </w:p>
    <w:p>
      <w:pPr>
        <w:spacing w:after="140" w:line="300"/>
      </w:pPr>
      <w:r>
        <w:rPr>
          <w:sz w:val="21"/>
          <w:szCs w:val="21"/>
        </w:rPr>
        <w:t xml:space="preserve">Le Client s'engage à :</w:t>
      </w:r>
    </w:p>
    <w:p>
      <w:pPr>
        <w:pStyle w:val="ListParagraph"/>
        <w:numPr>
          <w:ilvl w:val="0"/>
          <w:numId w:val="1"/>
        </w:numPr>
        <w:spacing w:after="80" w:line="280"/>
      </w:pPr>
      <w:r>
        <w:rPr>
          <w:sz w:val="21"/>
          <w:szCs w:val="21"/>
        </w:rPr>
        <w:t xml:space="preserve">garantir la légitimité de son autorisation sur le périmètre audité, conformément à l'Article 2 ;</w:t>
      </w:r>
    </w:p>
    <w:p>
      <w:pPr>
        <w:pStyle w:val="ListParagraph"/>
        <w:numPr>
          <w:ilvl w:val="0"/>
          <w:numId w:val="1"/>
        </w:numPr>
        <w:spacing w:after="80" w:line="280"/>
      </w:pPr>
      <w:r>
        <w:rPr>
          <w:sz w:val="21"/>
          <w:szCs w:val="21"/>
        </w:rPr>
        <w:t xml:space="preserve">fournir au Prestataire, en temps utile, les accès, informations et environnements nécessaires à la bonne exécution de la mission ;</w:t>
      </w:r>
    </w:p>
    <w:p>
      <w:pPr>
        <w:pStyle w:val="ListParagraph"/>
        <w:numPr>
          <w:ilvl w:val="0"/>
          <w:numId w:val="1"/>
        </w:numPr>
        <w:spacing w:after="80" w:line="280"/>
      </w:pPr>
      <w:r>
        <w:rPr>
          <w:sz w:val="21"/>
          <w:szCs w:val="21"/>
        </w:rPr>
        <w:t xml:space="preserve">ne pas modifier le périmètre ou les systèmes concernés pendant la mission sans en informer le Prestataire ;</w:t>
      </w:r>
    </w:p>
    <w:p>
      <w:pPr>
        <w:pStyle w:val="ListParagraph"/>
        <w:numPr>
          <w:ilvl w:val="0"/>
          <w:numId w:val="1"/>
        </w:numPr>
        <w:spacing w:after="80" w:line="280"/>
      </w:pPr>
      <w:r>
        <w:rPr>
          <w:sz w:val="21"/>
          <w:szCs w:val="21"/>
        </w:rPr>
        <w:t xml:space="preserve">prendre les mesures de sauvegarde nécessaires avant toute intervention pouvant affecter la disponibilité des systèmes ;</w:t>
      </w:r>
    </w:p>
    <w:p>
      <w:pPr>
        <w:pStyle w:val="ListParagraph"/>
        <w:numPr>
          <w:ilvl w:val="0"/>
          <w:numId w:val="1"/>
        </w:numPr>
        <w:spacing w:after="80" w:line="280"/>
      </w:pPr>
      <w:r>
        <w:rPr>
          <w:sz w:val="21"/>
          <w:szCs w:val="21"/>
        </w:rPr>
        <w:t xml:space="preserve">payer le prix de la prestation selon les modalités prévues à l'Article 9.</w:t>
      </w:r>
    </w:p>
    <w:p>
      <w:pPr>
        <w:spacing w:after="120" w:before="260"/>
      </w:pPr>
      <w:r>
        <w:rPr>
          <w:b/>
          <w:bCs/>
          <w:color w:val="1F3864"/>
          <w:sz w:val="22"/>
          <w:szCs w:val="22"/>
        </w:rPr>
        <w:t xml:space="preserve">ARTICLE 6 – GESTION DES DÉCOUVERTES ET DES INCIDENTS PENDANT LA MISSION</w:t>
      </w:r>
    </w:p>
    <w:p>
      <w:pPr>
        <w:spacing w:after="140" w:line="300"/>
      </w:pPr>
      <w:r>
        <w:rPr>
          <w:sz w:val="21"/>
          <w:szCs w:val="21"/>
        </w:rPr>
        <w:t xml:space="preserve">Si, au cours de la mission, le Prestataire découvre une donnée à caractère personnel, une information couverte par le secret des affaires, ou tout élément dont l'accès n'était manifestement pas anticipé par le périmètre, il en informe immédiatement le Client, s'abstient de toute exploitation ou copie au-delà du strict nécessaire à la preuve de la vulnérabilité, et documente cet accès dans le rapport.</w:t>
      </w:r>
    </w:p>
    <w:p>
      <w:pPr>
        <w:spacing w:after="140" w:line="300"/>
      </w:pPr>
      <w:r>
        <w:rPr>
          <w:sz w:val="21"/>
          <w:szCs w:val="21"/>
        </w:rPr>
        <w:t xml:space="preserve">En cas d'incident (indisponibilité, dysfonctionnement) survenant pendant ou consécutivement à un test, le Prestataire en informe immédiatement le Client et coopère de bonne foi à sa résolution, sans que cela emporte présomption de responsabilité.</w:t>
      </w:r>
    </w:p>
    <w:p>
      <w:pPr>
        <w:spacing w:after="120" w:before="260"/>
      </w:pPr>
      <w:r>
        <w:rPr>
          <w:b/>
          <w:bCs/>
          <w:color w:val="1F3864"/>
          <w:sz w:val="22"/>
          <w:szCs w:val="22"/>
        </w:rPr>
        <w:t xml:space="preserve">ARTICLE 7 – CONFIDENTIALITÉ ET SÉCURITÉ DES DONNÉES D'AUDIT</w:t>
      </w:r>
    </w:p>
    <w:p>
      <w:pPr>
        <w:spacing w:after="140" w:line="300"/>
      </w:pPr>
      <w:r>
        <w:rPr>
          <w:sz w:val="21"/>
          <w:szCs w:val="21"/>
        </w:rPr>
        <w:t xml:space="preserve">Les Parties reconnaissent que les informations échangées et générées dans le cadre de la mission (accès, résultats de scan, failles identifiées, rapport) constituent des Informations Confidentielles au sens de l'accord de confidentialité conclu séparément entre les Parties, lequel fait partie intégrante du présent contrat (Annexe 2).</w:t>
      </w:r>
    </w:p>
    <w:p>
      <w:pPr>
        <w:spacing w:after="140" w:line="300"/>
      </w:pPr>
      <w:r>
        <w:rPr>
          <w:sz w:val="21"/>
          <w:szCs w:val="21"/>
        </w:rPr>
        <w:t xml:space="preserve">Le Prestataire s'engage en particulier à :</w:t>
      </w:r>
    </w:p>
    <w:p>
      <w:pPr>
        <w:pStyle w:val="ListParagraph"/>
        <w:numPr>
          <w:ilvl w:val="0"/>
          <w:numId w:val="1"/>
        </w:numPr>
        <w:spacing w:after="80" w:line="280"/>
      </w:pPr>
      <w:r>
        <w:rPr>
          <w:sz w:val="21"/>
          <w:szCs w:val="21"/>
        </w:rPr>
        <w:t xml:space="preserve">chiffrer les données d'audit au repos et en transit (chiffrement fort, algorithmes à l'état de l'art) ;</w:t>
      </w:r>
    </w:p>
    <w:p>
      <w:pPr>
        <w:pStyle w:val="ListParagraph"/>
        <w:numPr>
          <w:ilvl w:val="0"/>
          <w:numId w:val="1"/>
        </w:numPr>
        <w:spacing w:after="80" w:line="280"/>
      </w:pPr>
      <w:r>
        <w:rPr>
          <w:sz w:val="21"/>
          <w:szCs w:val="21"/>
        </w:rPr>
        <w:t xml:space="preserve">restreindre l'accès aux résultats bruts et au rapport aux seules personnes habilitées et engagées par un accord de confidentialité ;</w:t>
      </w:r>
    </w:p>
    <w:p>
      <w:pPr>
        <w:pStyle w:val="ListParagraph"/>
        <w:numPr>
          <w:ilvl w:val="0"/>
          <w:numId w:val="1"/>
        </w:numPr>
        <w:spacing w:after="80" w:line="280"/>
      </w:pPr>
      <w:r>
        <w:rPr>
          <w:sz w:val="21"/>
          <w:szCs w:val="21"/>
        </w:rPr>
        <w:t xml:space="preserve">héberger les données sur une infrastructure sécurisée, avec authentification forte et journalisation des accès ;</w:t>
      </w:r>
    </w:p>
    <w:p>
      <w:pPr>
        <w:pStyle w:val="ListParagraph"/>
        <w:numPr>
          <w:ilvl w:val="0"/>
          <w:numId w:val="1"/>
        </w:numPr>
        <w:spacing w:after="80" w:line="280"/>
      </w:pPr>
      <w:r>
        <w:rPr>
          <w:sz w:val="21"/>
          <w:szCs w:val="21"/>
        </w:rPr>
        <w:t xml:space="preserve">détruire ou restituer, sur demande écrite du Client et sauf obligation légale de conservation, les données d'audit à l'issue d'un délai convenu au devis.</w:t>
      </w:r>
    </w:p>
    <w:p>
      <w:pPr>
        <w:spacing w:after="140" w:line="300"/>
      </w:pPr>
      <w:r>
        <w:rPr>
          <w:sz w:val="21"/>
          <w:szCs w:val="21"/>
        </w:rPr>
        <w:t xml:space="preserve">Lorsque le périmètre d'audit implique un traitement de données à caractère personnel au sens du RGPD, les Parties signent l'accord de sous-traitance figurant en Annexe 3, précisant conformément à l'article 28 du RGPD : l'objet, la durée, la nature et la finalité du traitement, le type de données et les catégories de personnes concernées, les obligations et droits du Client en qualité de responsable de traitement, ainsi que les garanties du Prestataire au titre de l'article 32 (mesures techniques et organisationnelles de sécurité).</w:t>
      </w:r>
    </w:p>
    <w:p>
      <w:pPr>
        <w:spacing w:after="140" w:line="300"/>
      </w:pPr>
      <w:r>
        <w:rPr>
          <w:sz w:val="21"/>
          <w:szCs w:val="21"/>
        </w:rPr>
        <w:t xml:space="preserve">Le Prestataire s'engage à ne recourir à un sous-traitant ultérieur (ingénieur freelance, structure nearshore) qu'après autorisation écrite, générale ou spécifique, du Client, et à répercuter contractuellement sur ce sous-traitant les mêmes obligations de confidentialité et de sécurité que celles prévues au présent contrat, conformément à l'article 28.4 du RGPD.</w:t>
      </w:r>
    </w:p>
    <w:p>
      <w:pPr>
        <w:spacing w:after="120" w:before="260"/>
      </w:pPr>
      <w:r>
        <w:rPr>
          <w:b/>
          <w:bCs/>
          <w:color w:val="1F3864"/>
          <w:sz w:val="22"/>
          <w:szCs w:val="22"/>
        </w:rPr>
        <w:t xml:space="preserve">ARTICLE 8 – PROPRIÉTÉ INTELLECTUELLE</w:t>
      </w:r>
    </w:p>
    <w:p>
      <w:pPr>
        <w:spacing w:after="140" w:line="300"/>
      </w:pPr>
      <w:r>
        <w:rPr>
          <w:sz w:val="21"/>
          <w:szCs w:val="21"/>
        </w:rPr>
        <w:t xml:space="preserve">Le rapport d'audit et ses annexes sont la propriété du Client dès complet paiement du prix. Le Prestataire conserve la propriété de ses méthodologies, outils, scripts, modèles de rapport et de tout savoir-faire propre développé indépendamment de la mission.</w:t>
      </w:r>
    </w:p>
    <w:p>
      <w:pPr>
        <w:spacing w:after="120" w:before="260"/>
      </w:pPr>
      <w:r>
        <w:rPr>
          <w:b/>
          <w:bCs/>
          <w:color w:val="1F3864"/>
          <w:sz w:val="22"/>
          <w:szCs w:val="22"/>
        </w:rPr>
        <w:t xml:space="preserve">ARTICLE 9 – PRIX ET MODALITÉS DE PAIEMENT</w:t>
      </w:r>
    </w:p>
    <w:p>
      <w:pPr>
        <w:spacing w:after="140" w:line="300"/>
      </w:pPr>
      <w:r>
        <w:rPr>
          <w:sz w:val="21"/>
          <w:szCs w:val="21"/>
        </w:rPr>
        <w:t xml:space="preserve">Le prix de la prestation est fixé au devis signé par les Parties. Sauf stipulation contraire, il est payable : 30 % à la commande, 40 % à la remise du rapport, 30 % à la clôture de la mission (recette des correctifs le cas échéant).</w:t>
      </w:r>
    </w:p>
    <w:p>
      <w:pPr>
        <w:spacing w:after="140" w:line="300"/>
      </w:pPr>
      <w:r>
        <w:rPr>
          <w:sz w:val="21"/>
          <w:szCs w:val="21"/>
        </w:rPr>
        <w:t xml:space="preserve">Toute somme non payée à l'échéance porte intérêt de plein droit au taux légal majoré, sans préjudice d'une indemnité forfaitaire pour frais de recouvrement, conformément aux dispositions du Code de commerce applicables entre professionnels.</w:t>
      </w:r>
    </w:p>
    <w:p>
      <w:pPr>
        <w:spacing w:after="120" w:before="260"/>
      </w:pPr>
      <w:r>
        <w:rPr>
          <w:b/>
          <w:bCs/>
          <w:color w:val="1F3864"/>
          <w:sz w:val="22"/>
          <w:szCs w:val="22"/>
        </w:rPr>
        <w:t xml:space="preserve">ARTICLE 10 – LIMITATION DE RESPONSABILITÉ</w:t>
      </w:r>
    </w:p>
    <w:p>
      <w:pPr>
        <w:spacing w:after="140" w:line="300"/>
      </w:pPr>
      <w:r>
        <w:rPr>
          <w:sz w:val="21"/>
          <w:szCs w:val="21"/>
        </w:rPr>
        <w:t xml:space="preserve">Le Prestataire met en œuvre les moyens nécessaires pour identifier les vulnérabilités existantes à la date de l'audit, sans garantir l'exhaustivité absolue des failles détectées, compte tenu de l'évolution constante des menaces et techniques d'attaque. L'audit constitue une photographie à un instant donné et ne dispense pas le Client d'une vigilance continue.</w:t>
      </w:r>
    </w:p>
    <w:p>
      <w:pPr>
        <w:spacing w:after="140" w:line="300"/>
      </w:pPr>
      <w:r>
        <w:rPr>
          <w:sz w:val="21"/>
          <w:szCs w:val="21"/>
        </w:rPr>
        <w:t xml:space="preserve">La responsabilité du Prestataire ne pourra être engagée qu'en cas de faute prouvée dans l'exécution de sa mission et dans le strict respect du périmètre convenu. Elle est limitée, tous préjudices confondus, au montant des sommes effectivement perçues par le Prestataire au titre de la mission concernée, sauf faute lourde ou dol.</w:t>
      </w:r>
    </w:p>
    <w:p>
      <w:pPr>
        <w:spacing w:after="140" w:line="300"/>
      </w:pPr>
      <w:r>
        <w:rPr>
          <w:sz w:val="21"/>
          <w:szCs w:val="21"/>
        </w:rPr>
        <w:t xml:space="preserve">Le Prestataire ne saurait être tenu responsable d'un incident résultant d'une intervention hors périmètre autorisé, d'une information erronée fournie par le Client, ou d'une action d'un tiers non lié au Prestataire.</w:t>
      </w:r>
    </w:p>
    <w:p>
      <w:pPr>
        <w:spacing w:after="120" w:before="260"/>
      </w:pPr>
      <w:r>
        <w:rPr>
          <w:b/>
          <w:bCs/>
          <w:color w:val="1F3864"/>
          <w:sz w:val="22"/>
          <w:szCs w:val="22"/>
        </w:rPr>
        <w:t xml:space="preserve">ARTICLE 11 – ASSURANCE</w:t>
      </w:r>
    </w:p>
    <w:p>
      <w:pPr>
        <w:spacing w:after="140" w:line="300"/>
      </w:pPr>
      <w:r>
        <w:rPr>
          <w:sz w:val="21"/>
          <w:szCs w:val="21"/>
        </w:rPr>
        <w:t xml:space="preserve">Le Prestataire justifie, sur simple demande du Client, d'une police d'assurance responsabilité civile professionnelle en cours de validité, couvrant notamment les dommages pouvant résulter d'une opération de test d'intrusion ou de scan de sécurité, ainsi que la prise en charge de sa défense en cas de mise en cause pénale liée à l'exécution de la mission dans le respect du périmètre autorisé.</w:t>
      </w:r>
    </w:p>
    <w:p>
      <w:pPr>
        <w:spacing w:after="120" w:before="260"/>
      </w:pPr>
      <w:r>
        <w:rPr>
          <w:b/>
          <w:bCs/>
          <w:color w:val="1F3864"/>
          <w:sz w:val="22"/>
          <w:szCs w:val="22"/>
        </w:rPr>
        <w:t xml:space="preserve">ARTICLE 12 – DURÉE, RÉSILIATION</w:t>
      </w:r>
    </w:p>
    <w:p>
      <w:pPr>
        <w:spacing w:after="140" w:line="300"/>
      </w:pPr>
      <w:r>
        <w:rPr>
          <w:sz w:val="21"/>
          <w:szCs w:val="21"/>
        </w:rPr>
        <w:t xml:space="preserve">Le présent contrat entre en vigueur à sa signature pour la durée de la mission définie au devis. Il peut être renouvelé par accord exprès des Parties pour des missions ultérieures.</w:t>
      </w:r>
    </w:p>
    <w:p>
      <w:pPr>
        <w:spacing w:after="140" w:line="300"/>
      </w:pPr>
      <w:r>
        <w:rPr>
          <w:sz w:val="21"/>
          <w:szCs w:val="21"/>
        </w:rPr>
        <w:t xml:space="preserve">En cas de manquement grave de l'une des Parties à ses obligations, non réparé dans un délai de quinze (15) jours calendaires suivant mise en demeure restée infructueuse, l'autre Partie pourra résilier le contrat de plein droit, sans préjudice de tout dommage et intérêt.</w:t>
      </w:r>
    </w:p>
    <w:p>
      <w:pPr>
        <w:spacing w:after="120" w:before="260"/>
      </w:pPr>
      <w:r>
        <w:rPr>
          <w:b/>
          <w:bCs/>
          <w:color w:val="1F3864"/>
          <w:sz w:val="22"/>
          <w:szCs w:val="22"/>
        </w:rPr>
        <w:t xml:space="preserve">ARTICLE 13 – DROIT APPLICABLE ET JURIDICTION</w:t>
      </w:r>
    </w:p>
    <w:p>
      <w:pPr>
        <w:spacing w:after="140" w:line="300"/>
      </w:pPr>
      <w:r>
        <w:rPr>
          <w:sz w:val="21"/>
          <w:szCs w:val="21"/>
        </w:rPr>
        <w:t xml:space="preserve">Le présent contrat est soumis au droit français. Tout litige relatif à sa validité, son interprétation ou son exécution sera, à défaut de résolution amiable, soumis aux juridictions compétentes du ressort du siège social du Prestataire, sauf disposition d'ordre public contraire.</w:t>
      </w:r>
    </w:p>
    <w:p>
      <w:r>
        <w:br w:type="page"/>
      </w:r>
    </w:p>
    <w:p>
      <w:pPr>
        <w:pStyle w:val="Heading1"/>
        <w:spacing w:after="160" w:before="320"/>
      </w:pPr>
      <w:r>
        <w:rPr>
          <w:b/>
          <w:bCs/>
          <w:color w:val="1F3864"/>
          <w:sz w:val="26"/>
          <w:szCs w:val="26"/>
        </w:rPr>
        <w:t xml:space="preserve">SIGNATURES</w:t>
      </w:r>
    </w:p>
    <w:p>
      <w:pPr>
        <w:spacing w:after="140" w:line="300"/>
      </w:pPr>
      <w:r>
        <w:rPr>
          <w:sz w:val="21"/>
          <w:szCs w:val="21"/>
        </w:rPr>
        <w:t xml:space="preserve">Fait en deux exemplaires originaux, à ______________________, le ______________________.</w:t>
      </w:r>
    </w:p>
    <w:tbl>
      <w:tblPr>
        <w:tblW w:type="pct" w:w="100%"/>
        <w:tblBorders>
          <w:top w:val="none"/>
          <w:left w:val="none"/>
          <w:bottom w:val="none"/>
          <w:right w:val="none"/>
          <w:insideH w:val="none"/>
          <w:insideV w:val="none"/>
        </w:tblBorders>
      </w:tblPr>
      <w:tblGrid>
        <w:gridCol w:w="100"/>
        <w:gridCol w:w="100"/>
      </w:tblGrid>
      <w:tr>
        <w:tc>
          <w:tcPr>
            <w:tcW w:type="pct" w:w="50%"/>
          </w:tcPr>
          <w:p>
            <w:pPr>
              <w:spacing w:after="140" w:line="300"/>
            </w:pPr>
            <w:r>
              <w:rPr>
                <w:b/>
                <w:bCs/>
                <w:sz w:val="21"/>
                <w:szCs w:val="21"/>
              </w:rPr>
              <w:t xml:space="preserve">Pour ATLAS QUALITY PARTNERS</w:t>
            </w:r>
          </w:p>
          <w:p>
            <w:pPr>
              <w:spacing w:after="140" w:line="300"/>
            </w:pPr>
            <w:r>
              <w:rPr>
                <w:sz w:val="21"/>
                <w:szCs w:val="21"/>
              </w:rPr>
              <w:t xml:space="preserve">Nom, qualité :</w:t>
            </w:r>
          </w:p>
          <w:p>
            <w:pPr>
              <w:spacing w:after="140" w:line="300"/>
            </w:pPr>
            <w:r>
              <w:rPr>
                <w:sz w:val="21"/>
                <w:szCs w:val="21"/>
              </w:rPr>
              <w:t xml:space="preserve"> </w:t>
            </w:r>
          </w:p>
          <w:p>
            <w:pPr>
              <w:spacing w:after="140" w:line="300"/>
            </w:pPr>
            <w:r>
              <w:rPr>
                <w:sz w:val="21"/>
                <w:szCs w:val="21"/>
              </w:rPr>
              <w:t xml:space="preserve"> </w:t>
            </w:r>
          </w:p>
          <w:p>
            <w:pPr>
              <w:spacing w:after="140" w:line="300"/>
            </w:pPr>
            <w:r>
              <w:rPr>
                <w:sz w:val="21"/>
                <w:szCs w:val="21"/>
              </w:rPr>
              <w:t xml:space="preserve">Signature :</w:t>
            </w:r>
          </w:p>
        </w:tc>
        <w:tc>
          <w:tcPr>
            <w:tcW w:type="pct" w:w="50%"/>
          </w:tcPr>
          <w:p>
            <w:pPr>
              <w:spacing w:after="140" w:line="300"/>
            </w:pPr>
            <w:r>
              <w:rPr>
                <w:b/>
                <w:bCs/>
                <w:sz w:val="21"/>
                <w:szCs w:val="21"/>
              </w:rPr>
              <w:t xml:space="preserve">Pour le Client</w:t>
            </w:r>
          </w:p>
          <w:p>
            <w:pPr>
              <w:spacing w:after="140" w:line="300"/>
            </w:pPr>
            <w:r>
              <w:rPr>
                <w:sz w:val="21"/>
                <w:szCs w:val="21"/>
              </w:rPr>
              <w:t xml:space="preserve">Nom, qualité :</w:t>
            </w:r>
          </w:p>
          <w:p>
            <w:pPr>
              <w:spacing w:after="140" w:line="300"/>
            </w:pPr>
            <w:r>
              <w:rPr>
                <w:sz w:val="21"/>
                <w:szCs w:val="21"/>
              </w:rPr>
              <w:t xml:space="preserve"> </w:t>
            </w:r>
          </w:p>
          <w:p>
            <w:pPr>
              <w:spacing w:after="140" w:line="300"/>
            </w:pPr>
            <w:r>
              <w:rPr>
                <w:sz w:val="21"/>
                <w:szCs w:val="21"/>
              </w:rPr>
              <w:t xml:space="preserve"> </w:t>
            </w:r>
          </w:p>
          <w:p>
            <w:pPr>
              <w:spacing w:after="140" w:line="300"/>
            </w:pPr>
            <w:r>
              <w:rPr>
                <w:sz w:val="21"/>
                <w:szCs w:val="21"/>
              </w:rPr>
              <w:t xml:space="preserve">Signature :</w:t>
            </w:r>
          </w:p>
        </w:tc>
      </w:tr>
    </w:tbl>
    <w:p>
      <w:r>
        <w:br w:type="page"/>
      </w:r>
    </w:p>
    <w:p>
      <w:pPr>
        <w:pStyle w:val="Heading1"/>
        <w:spacing w:after="160" w:before="320"/>
      </w:pPr>
      <w:r>
        <w:rPr>
          <w:b/>
          <w:bCs/>
          <w:color w:val="1F3864"/>
          <w:sz w:val="26"/>
          <w:szCs w:val="26"/>
        </w:rPr>
        <w:t xml:space="preserve">ANNEXE 1 – PÉRIMÈTRE D'AUDIT</w:t>
      </w:r>
    </w:p>
    <w:p>
      <w:pPr>
        <w:spacing w:after="140" w:line="300"/>
      </w:pPr>
      <w:r>
        <w:rPr>
          <w:sz w:val="21"/>
          <w:szCs w:val="21"/>
        </w:rPr>
        <w:t xml:space="preserve">À compléter et signer conjointement avant chaque mission.</w:t>
      </w:r>
    </w:p>
    <w:p>
      <w:pPr>
        <w:pStyle w:val="ListParagraph"/>
        <w:numPr>
          <w:ilvl w:val="0"/>
          <w:numId w:val="1"/>
        </w:numPr>
        <w:spacing w:after="80" w:line="280"/>
      </w:pPr>
      <w:r>
        <w:rPr>
          <w:sz w:val="21"/>
          <w:szCs w:val="21"/>
        </w:rPr>
        <w:t xml:space="preserve">Domaines / URLs autorisés : ______________________</w:t>
      </w:r>
    </w:p>
    <w:p>
      <w:pPr>
        <w:pStyle w:val="ListParagraph"/>
        <w:numPr>
          <w:ilvl w:val="0"/>
          <w:numId w:val="1"/>
        </w:numPr>
        <w:spacing w:after="80" w:line="280"/>
      </w:pPr>
      <w:r>
        <w:rPr>
          <w:sz w:val="21"/>
          <w:szCs w:val="21"/>
        </w:rPr>
        <w:t xml:space="preserve">Adresses IP / plages autorisées : ______________________</w:t>
      </w:r>
    </w:p>
    <w:p>
      <w:pPr>
        <w:pStyle w:val="ListParagraph"/>
        <w:numPr>
          <w:ilvl w:val="0"/>
          <w:numId w:val="1"/>
        </w:numPr>
        <w:spacing w:after="80" w:line="280"/>
      </w:pPr>
      <w:r>
        <w:rPr>
          <w:sz w:val="21"/>
          <w:szCs w:val="21"/>
        </w:rPr>
        <w:t xml:space="preserve">Environnements exclus (production critique, systèmes tiers, etc.) : ______________________</w:t>
      </w:r>
    </w:p>
    <w:p>
      <w:pPr>
        <w:pStyle w:val="ListParagraph"/>
        <w:numPr>
          <w:ilvl w:val="0"/>
          <w:numId w:val="1"/>
        </w:numPr>
        <w:spacing w:after="80" w:line="280"/>
      </w:pPr>
      <w:r>
        <w:rPr>
          <w:sz w:val="21"/>
          <w:szCs w:val="21"/>
        </w:rPr>
        <w:t xml:space="preserve">Types de tests autorisés (scan passif, scan actif, exploitation contrôlée, ingénierie sociale) : ______________________</w:t>
      </w:r>
    </w:p>
    <w:p>
      <w:pPr>
        <w:pStyle w:val="ListParagraph"/>
        <w:numPr>
          <w:ilvl w:val="0"/>
          <w:numId w:val="1"/>
        </w:numPr>
        <w:spacing w:after="80" w:line="280"/>
      </w:pPr>
      <w:r>
        <w:rPr>
          <w:sz w:val="21"/>
          <w:szCs w:val="21"/>
        </w:rPr>
        <w:t xml:space="preserve">Fenêtre horaire autorisée : ______________________</w:t>
      </w:r>
    </w:p>
    <w:p>
      <w:pPr>
        <w:pStyle w:val="ListParagraph"/>
        <w:numPr>
          <w:ilvl w:val="0"/>
          <w:numId w:val="1"/>
        </w:numPr>
        <w:spacing w:after="80" w:line="280"/>
      </w:pPr>
      <w:r>
        <w:rPr>
          <w:sz w:val="21"/>
          <w:szCs w:val="21"/>
        </w:rPr>
        <w:t xml:space="preserve">Contact technique Client (nom, téléphone, disponibilité) : ______________________</w:t>
      </w:r>
    </w:p>
    <w:p>
      <w:pPr>
        <w:pStyle w:val="ListParagraph"/>
        <w:numPr>
          <w:ilvl w:val="0"/>
          <w:numId w:val="1"/>
        </w:numPr>
        <w:spacing w:after="80" w:line="280"/>
      </w:pPr>
      <w:r>
        <w:rPr>
          <w:sz w:val="21"/>
          <w:szCs w:val="21"/>
        </w:rPr>
        <w:t xml:space="preserve">Contact technique Prestataire : ______________________</w:t>
      </w:r>
    </w:p>
    <w:p>
      <w:r>
        <w:br w:type="page"/>
      </w:r>
    </w:p>
    <w:p>
      <w:pPr>
        <w:pStyle w:val="Heading1"/>
        <w:spacing w:after="160" w:before="320"/>
      </w:pPr>
      <w:r>
        <w:rPr>
          <w:b/>
          <w:bCs/>
          <w:color w:val="1F3864"/>
          <w:sz w:val="26"/>
          <w:szCs w:val="26"/>
        </w:rPr>
        <w:t xml:space="preserve">ANNEXE 3 – ACCORD DE SOUS-TRAITANCE RGPD ET TRANSFERT INTERNATIONAL</w:t>
      </w:r>
    </w:p>
    <w:p>
      <w:pPr>
        <w:spacing w:after="140" w:line="300"/>
      </w:pPr>
      <w:r>
        <w:rPr>
          <w:sz w:val="21"/>
          <w:szCs w:val="21"/>
        </w:rPr>
        <w:t xml:space="preserve">Applicable uniquement si le périmètre d'audit implique un traitement de données à caractère personnel au sens du RGPD.</w:t>
      </w:r>
    </w:p>
    <w:p>
      <w:pPr>
        <w:pStyle w:val="Heading2"/>
        <w:spacing w:after="100" w:before="220"/>
      </w:pPr>
      <w:r>
        <w:rPr>
          <w:b/>
          <w:bCs/>
          <w:color w:val="1F3864"/>
          <w:sz w:val="22"/>
          <w:szCs w:val="22"/>
        </w:rPr>
        <w:t xml:space="preserve">A. Description du traitement (art. 28.3 RGPD)</w:t>
      </w:r>
    </w:p>
    <w:p>
      <w:pPr>
        <w:pStyle w:val="ListParagraph"/>
        <w:numPr>
          <w:ilvl w:val="0"/>
          <w:numId w:val="1"/>
        </w:numPr>
        <w:spacing w:after="80" w:line="280"/>
      </w:pPr>
      <w:r>
        <w:rPr>
          <w:sz w:val="21"/>
          <w:szCs w:val="21"/>
        </w:rPr>
        <w:t xml:space="preserve">Objet du traitement : détection de vulnérabilités pouvant exposer des données à caractère personnel</w:t>
      </w:r>
    </w:p>
    <w:p>
      <w:pPr>
        <w:pStyle w:val="ListParagraph"/>
        <w:numPr>
          <w:ilvl w:val="0"/>
          <w:numId w:val="1"/>
        </w:numPr>
        <w:spacing w:after="80" w:line="280"/>
      </w:pPr>
      <w:r>
        <w:rPr>
          <w:sz w:val="21"/>
          <w:szCs w:val="21"/>
        </w:rPr>
        <w:t xml:space="preserve">Durée : durée de la mission, augmentée du délai de conservation du rapport convenu au devis</w:t>
      </w:r>
    </w:p>
    <w:p>
      <w:pPr>
        <w:pStyle w:val="ListParagraph"/>
        <w:numPr>
          <w:ilvl w:val="0"/>
          <w:numId w:val="1"/>
        </w:numPr>
        <w:spacing w:after="80" w:line="280"/>
      </w:pPr>
      <w:r>
        <w:rPr>
          <w:sz w:val="21"/>
          <w:szCs w:val="21"/>
        </w:rPr>
        <w:t xml:space="preserve">Nature des opérations : collecte technique incidente, analyse, documentation dans le rapport, puis suppression</w:t>
      </w:r>
    </w:p>
    <w:p>
      <w:pPr>
        <w:pStyle w:val="ListParagraph"/>
        <w:numPr>
          <w:ilvl w:val="0"/>
          <w:numId w:val="1"/>
        </w:numPr>
        <w:spacing w:after="80" w:line="280"/>
      </w:pPr>
      <w:r>
        <w:rPr>
          <w:sz w:val="21"/>
          <w:szCs w:val="21"/>
        </w:rPr>
        <w:t xml:space="preserve">Catégories de données concernées (à préciser) : ______________________</w:t>
      </w:r>
    </w:p>
    <w:p>
      <w:pPr>
        <w:pStyle w:val="ListParagraph"/>
        <w:numPr>
          <w:ilvl w:val="0"/>
          <w:numId w:val="1"/>
        </w:numPr>
        <w:spacing w:after="80" w:line="280"/>
      </w:pPr>
      <w:r>
        <w:rPr>
          <w:sz w:val="21"/>
          <w:szCs w:val="21"/>
        </w:rPr>
        <w:t xml:space="preserve">Catégories de personnes concernées (à préciser) : ______________________</w:t>
      </w:r>
    </w:p>
    <w:p>
      <w:pPr>
        <w:pStyle w:val="Heading2"/>
        <w:spacing w:after="100" w:before="220"/>
      </w:pPr>
      <w:r>
        <w:rPr>
          <w:b/>
          <w:bCs/>
          <w:color w:val="1F3864"/>
          <w:sz w:val="22"/>
          <w:szCs w:val="22"/>
        </w:rPr>
        <w:t xml:space="preserve">B. Garanties du Prestataire (art. 28.3 et 32 RGPD)</w:t>
      </w:r>
    </w:p>
    <w:p>
      <w:pPr>
        <w:pStyle w:val="ListParagraph"/>
        <w:numPr>
          <w:ilvl w:val="0"/>
          <w:numId w:val="1"/>
        </w:numPr>
        <w:spacing w:after="80" w:line="280"/>
      </w:pPr>
      <w:r>
        <w:rPr>
          <w:sz w:val="21"/>
          <w:szCs w:val="21"/>
        </w:rPr>
        <w:t xml:space="preserve">mise en œuvre de mesures de chiffrement, de contrôle d'accès et de journalisation conformes à l'état de l'art ;</w:t>
      </w:r>
    </w:p>
    <w:p>
      <w:pPr>
        <w:pStyle w:val="ListParagraph"/>
        <w:numPr>
          <w:ilvl w:val="0"/>
          <w:numId w:val="1"/>
        </w:numPr>
        <w:spacing w:after="80" w:line="280"/>
      </w:pPr>
      <w:r>
        <w:rPr>
          <w:sz w:val="21"/>
          <w:szCs w:val="21"/>
        </w:rPr>
        <w:t xml:space="preserve">engagement de confidentialité de toute personne intervenant sur les données ;</w:t>
      </w:r>
    </w:p>
    <w:p>
      <w:pPr>
        <w:pStyle w:val="ListParagraph"/>
        <w:numPr>
          <w:ilvl w:val="0"/>
          <w:numId w:val="1"/>
        </w:numPr>
        <w:spacing w:after="80" w:line="280"/>
      </w:pPr>
      <w:r>
        <w:rPr>
          <w:sz w:val="21"/>
          <w:szCs w:val="21"/>
        </w:rPr>
        <w:t xml:space="preserve">assistance au Client pour répondre aux demandes d'exercice des droits des personnes concernées et pour la notification des violations (art. 33-34) ;</w:t>
      </w:r>
    </w:p>
    <w:p>
      <w:pPr>
        <w:pStyle w:val="ListParagraph"/>
        <w:numPr>
          <w:ilvl w:val="0"/>
          <w:numId w:val="1"/>
        </w:numPr>
        <w:spacing w:after="80" w:line="280"/>
      </w:pPr>
      <w:r>
        <w:rPr>
          <w:sz w:val="21"/>
          <w:szCs w:val="21"/>
        </w:rPr>
        <w:t xml:space="preserve">suppression ou restitution des données à l'issue de la mission (art. 28.3.g) ;</w:t>
      </w:r>
    </w:p>
    <w:p>
      <w:pPr>
        <w:pStyle w:val="ListParagraph"/>
        <w:numPr>
          <w:ilvl w:val="0"/>
          <w:numId w:val="1"/>
        </w:numPr>
        <w:spacing w:after="80" w:line="280"/>
      </w:pPr>
      <w:r>
        <w:rPr>
          <w:sz w:val="21"/>
          <w:szCs w:val="21"/>
        </w:rPr>
        <w:t xml:space="preserve">mise à disposition du Client des informations nécessaires pour démontrer le respect de l'article 28 et permettre la réalisation d'audits par le Client ou un tiers mandaté.</w:t>
      </w:r>
    </w:p>
    <w:p>
      <w:pPr>
        <w:pStyle w:val="Heading2"/>
        <w:spacing w:after="100" w:before="220"/>
      </w:pPr>
      <w:r>
        <w:rPr>
          <w:b/>
          <w:bCs/>
          <w:color w:val="1F3864"/>
          <w:sz w:val="22"/>
          <w:szCs w:val="22"/>
        </w:rPr>
        <w:t xml:space="preserve">C. Sous-traitance ultérieure et transfert hors Union européenne</w:t>
      </w:r>
    </w:p>
    <w:p>
      <w:pPr>
        <w:spacing w:after="140" w:line="300"/>
      </w:pPr>
      <w:r>
        <w:rPr>
          <w:sz w:val="21"/>
          <w:szCs w:val="21"/>
        </w:rPr>
        <w:t xml:space="preserve">Le Client autorise le Prestataire à recourir aux sous-traitants ultérieurs suivants (à compléter, notamment en cas de mobilisation d'ingénieurs basés hors UE, par exemple en Tunisie) : ______________________</w:t>
      </w:r>
    </w:p>
    <w:p>
      <w:pPr>
        <w:spacing w:after="140" w:line="300"/>
      </w:pPr>
      <w:r>
        <w:rPr>
          <w:sz w:val="21"/>
          <w:szCs w:val="21"/>
        </w:rPr>
        <w:t xml:space="preserve">Lorsqu'un sous-traitant ultérieur est situé hors de l'Espace économique européen dans un pays non reconnu comme offrant un niveau de protection adéquat par la Commission européenne, le Prestataire met en place un mécanisme de transfert conforme au Chapitre V du RGPD, en particulier la signature des clauses contractuelles types (Décision d'exécution (UE) 2021/914 de la Commission européenne) avec ce sous-traitant, ainsi qu'une analyse d'impact relative au transfert (« Transfer Impact Assessment ») si requise.</w:t>
      </w:r>
    </w:p>
    <w:p>
      <w:pPr>
        <w:spacing w:after="140" w:line="300"/>
      </w:pPr>
      <w:r>
        <w:rPr>
          <w:sz w:val="21"/>
          <w:szCs w:val="21"/>
        </w:rPr>
        <w:t xml:space="preserve">Le Prestataire tient à disposition du Client, sur demande, une copie de ces clauses contractuelles types signées.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Atlas Quality Partners — Contrat de prestation d'audit de sécurité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2026-09-02T19:12:58.594Z</dcterms:created>
  <dcterms:modified xsi:type="dcterms:W3CDTF">2026-09-02T19:12:58.608Z</dcterms:modified>
</cp:coreProperties>
</file>

<file path=docProps/custom.xml><?xml version="1.0" encoding="utf-8"?>
<Properties xmlns="http://schemas.openxmlformats.org/officeDocument/2006/custom-properties" xmlns:vt="http://schemas.openxmlformats.org/officeDocument/2006/docPropsVTypes"/>
</file>