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4348" w:rsidRPr="00B14348" w:rsidRDefault="00B14348" w:rsidP="00B14348">
      <w:pPr>
        <w:ind w:right="-514"/>
        <w:rPr>
          <w:rFonts w:ascii="Times New Roman" w:hAnsi="Times New Roman" w:cs="Times New Roman"/>
        </w:rPr>
      </w:pPr>
    </w:p>
    <w:p w:rsidR="00B14348" w:rsidRPr="00B14348" w:rsidRDefault="00B14348" w:rsidP="00B14348">
      <w:pPr>
        <w:ind w:left="-540" w:right="-514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B14348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Employee Data Analysis Report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4348">
        <w:rPr>
          <w:rFonts w:ascii="Times New Roman" w:hAnsi="Times New Roman" w:cs="Times New Roman"/>
          <w:b/>
          <w:bCs/>
          <w:sz w:val="28"/>
          <w:szCs w:val="28"/>
          <w:u w:val="single"/>
        </w:rPr>
        <w:t>1. Dataset Description</w:t>
      </w:r>
    </w:p>
    <w:p w:rsidR="00B14348" w:rsidRPr="00B14348" w:rsidRDefault="00B14348" w:rsidP="00B14348">
      <w:pPr>
        <w:pStyle w:val="ListParagraph"/>
        <w:numPr>
          <w:ilvl w:val="1"/>
          <w:numId w:val="1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  <w:b/>
          <w:bCs/>
        </w:rPr>
        <w:t>Source:</w:t>
      </w:r>
      <w:r w:rsidRPr="00B14348">
        <w:rPr>
          <w:rFonts w:ascii="Times New Roman" w:hAnsi="Times New Roman" w:cs="Times New Roman"/>
        </w:rPr>
        <w:t xml:space="preserve"> Internal office employees dataset (1,000 records).</w:t>
      </w:r>
    </w:p>
    <w:p w:rsidR="00B14348" w:rsidRPr="00B14348" w:rsidRDefault="00B14348" w:rsidP="00B14348">
      <w:pPr>
        <w:ind w:left="72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1.2 </w:t>
      </w:r>
      <w:r w:rsidRPr="00B14348">
        <w:rPr>
          <w:rFonts w:ascii="Times New Roman" w:hAnsi="Times New Roman" w:cs="Times New Roman"/>
          <w:b/>
          <w:bCs/>
        </w:rPr>
        <w:t>Columns: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proofErr w:type="spellStart"/>
      <w:r w:rsidRPr="00B14348">
        <w:rPr>
          <w:rFonts w:ascii="Times New Roman" w:hAnsi="Times New Roman" w:cs="Times New Roman"/>
        </w:rPr>
        <w:t>employee_id</w:t>
      </w:r>
      <w:proofErr w:type="spellEnd"/>
      <w:r w:rsidRPr="00B14348">
        <w:rPr>
          <w:rFonts w:ascii="Times New Roman" w:hAnsi="Times New Roman" w:cs="Times New Roman"/>
        </w:rPr>
        <w:t xml:space="preserve"> – Unique identifier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proofErr w:type="spellStart"/>
      <w:r w:rsidRPr="00B14348">
        <w:rPr>
          <w:rFonts w:ascii="Times New Roman" w:hAnsi="Times New Roman" w:cs="Times New Roman"/>
        </w:rPr>
        <w:t>employee_name</w:t>
      </w:r>
      <w:proofErr w:type="spellEnd"/>
      <w:r w:rsidRPr="00B14348">
        <w:rPr>
          <w:rFonts w:ascii="Times New Roman" w:hAnsi="Times New Roman" w:cs="Times New Roman"/>
        </w:rPr>
        <w:t xml:space="preserve"> – Employee’s full name (939 unique, some duplicates)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department – 6 unique departments (HR, Marketing, Finance, Accounts, Purchasing, etc.)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state – 5 states (major share from Alaska &amp; California)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salary – Ranging from 1,006 to 9,985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age – Ranging from 20 to 50 years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bonus – Ranging from 500 to 2,000</w:t>
      </w:r>
    </w:p>
    <w:p w:rsidR="00B14348" w:rsidRPr="00B14348" w:rsidRDefault="00B14348" w:rsidP="00B14348">
      <w:pPr>
        <w:ind w:left="72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1.3 </w:t>
      </w:r>
      <w:r w:rsidRPr="00B14348">
        <w:rPr>
          <w:rFonts w:ascii="Times New Roman" w:hAnsi="Times New Roman" w:cs="Times New Roman"/>
          <w:b/>
          <w:bCs/>
        </w:rPr>
        <w:t>Data Quality: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No missing values</w:t>
      </w:r>
    </w:p>
    <w:p w:rsidR="00B14348" w:rsidRP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Clean and consistent</w:t>
      </w:r>
    </w:p>
    <w:p w:rsidR="00B14348" w:rsidRDefault="00B14348" w:rsidP="00B14348">
      <w:pPr>
        <w:numPr>
          <w:ilvl w:val="1"/>
          <w:numId w:val="1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Balanced structure with geographic and departmental diversity</w:t>
      </w:r>
    </w:p>
    <w:p w:rsidR="006B28A6" w:rsidRPr="00B14348" w:rsidRDefault="006B28A6" w:rsidP="006B28A6">
      <w:pPr>
        <w:ind w:left="72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 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4348">
        <w:rPr>
          <w:rFonts w:ascii="Times New Roman" w:hAnsi="Times New Roman" w:cs="Times New Roman"/>
          <w:b/>
          <w:bCs/>
          <w:sz w:val="28"/>
          <w:szCs w:val="28"/>
          <w:u w:val="single"/>
        </w:rPr>
        <w:t>2. Operations Performed</w:t>
      </w:r>
    </w:p>
    <w:p w:rsidR="00B14348" w:rsidRPr="00B14348" w:rsidRDefault="00B14348" w:rsidP="00B14348">
      <w:pPr>
        <w:ind w:left="72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2.1 </w:t>
      </w:r>
      <w:r w:rsidRPr="00B14348">
        <w:rPr>
          <w:rFonts w:ascii="Times New Roman" w:hAnsi="Times New Roman" w:cs="Times New Roman"/>
          <w:b/>
          <w:bCs/>
        </w:rPr>
        <w:t>Data Cleaning &amp; Exploration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14348">
        <w:rPr>
          <w:rFonts w:ascii="Times New Roman" w:hAnsi="Times New Roman" w:cs="Times New Roman"/>
        </w:rPr>
        <w:t>o missing/null values</w:t>
      </w:r>
      <w:r>
        <w:rPr>
          <w:rFonts w:ascii="Times New Roman" w:hAnsi="Times New Roman" w:cs="Times New Roman"/>
        </w:rPr>
        <w:t xml:space="preserve"> observed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Checked unique values in categorical columns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Summarized numerical columns (mean, median, standard deviation, IQR)</w:t>
      </w:r>
    </w:p>
    <w:p w:rsidR="00B14348" w:rsidRPr="00B14348" w:rsidRDefault="00B14348" w:rsidP="00B14348">
      <w:pPr>
        <w:ind w:left="72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2.2 </w:t>
      </w:r>
      <w:r w:rsidRPr="00B14348">
        <w:rPr>
          <w:rFonts w:ascii="Times New Roman" w:hAnsi="Times New Roman" w:cs="Times New Roman"/>
          <w:b/>
          <w:bCs/>
        </w:rPr>
        <w:t>Descriptive Analytics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Departmental employee count (pie chart)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State-wise employee distribution (bar chart)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Salary &amp; Age distribution analysis (histogram, boxplots)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Bonus distribution (histogram)</w:t>
      </w:r>
    </w:p>
    <w:p w:rsidR="00B14348" w:rsidRPr="00B14348" w:rsidRDefault="00B14348" w:rsidP="00B14348">
      <w:pPr>
        <w:ind w:left="72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2.3 </w:t>
      </w:r>
      <w:r w:rsidRPr="00B14348">
        <w:rPr>
          <w:rFonts w:ascii="Times New Roman" w:hAnsi="Times New Roman" w:cs="Times New Roman"/>
          <w:b/>
          <w:bCs/>
        </w:rPr>
        <w:t>Relationship Analysis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lastRenderedPageBreak/>
        <w:t>Age vs. Salary (bubble chart with bonus as size factor)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Department vs. Bonus comparison</w:t>
      </w:r>
    </w:p>
    <w:p w:rsidR="00B14348" w:rsidRPr="00B14348" w:rsidRDefault="00B14348" w:rsidP="00B14348">
      <w:pPr>
        <w:numPr>
          <w:ilvl w:val="1"/>
          <w:numId w:val="2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Salary variations by state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4348">
        <w:rPr>
          <w:rFonts w:ascii="Times New Roman" w:hAnsi="Times New Roman" w:cs="Times New Roman"/>
          <w:b/>
          <w:bCs/>
          <w:sz w:val="28"/>
          <w:szCs w:val="28"/>
          <w:u w:val="single"/>
        </w:rPr>
        <w:t>3. Key Insights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 </w:t>
      </w:r>
      <w:r w:rsidRPr="00B14348">
        <w:rPr>
          <w:rFonts w:ascii="Times New Roman" w:hAnsi="Times New Roman" w:cs="Times New Roman"/>
          <w:b/>
          <w:bCs/>
        </w:rPr>
        <w:t>Workforce Demographics</w:t>
      </w:r>
    </w:p>
    <w:p w:rsidR="00B14348" w:rsidRPr="00B14348" w:rsidRDefault="00B14348" w:rsidP="00B14348">
      <w:pPr>
        <w:numPr>
          <w:ilvl w:val="0"/>
          <w:numId w:val="3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Age distribution </w:t>
      </w:r>
      <w:proofErr w:type="spellStart"/>
      <w:r w:rsidRPr="00B14348">
        <w:rPr>
          <w:rFonts w:ascii="Times New Roman" w:hAnsi="Times New Roman" w:cs="Times New Roman"/>
        </w:rPr>
        <w:t>centers</w:t>
      </w:r>
      <w:proofErr w:type="spellEnd"/>
      <w:r w:rsidRPr="00B14348">
        <w:rPr>
          <w:rFonts w:ascii="Times New Roman" w:hAnsi="Times New Roman" w:cs="Times New Roman"/>
        </w:rPr>
        <w:t xml:space="preserve"> around </w:t>
      </w:r>
      <w:r w:rsidRPr="00B14348">
        <w:rPr>
          <w:rFonts w:ascii="Times New Roman" w:hAnsi="Times New Roman" w:cs="Times New Roman"/>
          <w:b/>
          <w:bCs/>
        </w:rPr>
        <w:t>25–40 years</w:t>
      </w:r>
      <w:r w:rsidRPr="00B14348">
        <w:rPr>
          <w:rFonts w:ascii="Times New Roman" w:hAnsi="Times New Roman" w:cs="Times New Roman"/>
        </w:rPr>
        <w:t xml:space="preserve"> → young to mid-career dominant.</w:t>
      </w:r>
    </w:p>
    <w:p w:rsidR="00B14348" w:rsidRPr="00B14348" w:rsidRDefault="00B14348" w:rsidP="00B14348">
      <w:pPr>
        <w:numPr>
          <w:ilvl w:val="0"/>
          <w:numId w:val="3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Average employee age: </w:t>
      </w:r>
      <w:r w:rsidRPr="00B14348">
        <w:rPr>
          <w:rFonts w:ascii="Times New Roman" w:hAnsi="Times New Roman" w:cs="Times New Roman"/>
          <w:b/>
          <w:bCs/>
        </w:rPr>
        <w:t>35.3 years</w:t>
      </w:r>
      <w:r w:rsidRPr="00B14348">
        <w:rPr>
          <w:rFonts w:ascii="Times New Roman" w:hAnsi="Times New Roman" w:cs="Times New Roman"/>
        </w:rPr>
        <w:t>.</w:t>
      </w:r>
    </w:p>
    <w:p w:rsidR="00B14348" w:rsidRPr="00B14348" w:rsidRDefault="00B14348" w:rsidP="00B14348">
      <w:pPr>
        <w:numPr>
          <w:ilvl w:val="0"/>
          <w:numId w:val="3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Fewer employees above 45 → lower senior-level representation.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 </w:t>
      </w:r>
      <w:r w:rsidRPr="00B14348">
        <w:rPr>
          <w:rFonts w:ascii="Times New Roman" w:hAnsi="Times New Roman" w:cs="Times New Roman"/>
          <w:b/>
          <w:bCs/>
        </w:rPr>
        <w:t>Departmental Insights</w:t>
      </w:r>
    </w:p>
    <w:p w:rsidR="00B14348" w:rsidRPr="00B14348" w:rsidRDefault="00B14348" w:rsidP="00B14348">
      <w:pPr>
        <w:numPr>
          <w:ilvl w:val="0"/>
          <w:numId w:val="4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HR has the </w:t>
      </w:r>
      <w:r w:rsidRPr="00B14348">
        <w:rPr>
          <w:rFonts w:ascii="Times New Roman" w:hAnsi="Times New Roman" w:cs="Times New Roman"/>
          <w:b/>
          <w:bCs/>
        </w:rPr>
        <w:t>largest workforce (171 employees)</w:t>
      </w:r>
      <w:r w:rsidRPr="00B14348">
        <w:rPr>
          <w:rFonts w:ascii="Times New Roman" w:hAnsi="Times New Roman" w:cs="Times New Roman"/>
        </w:rPr>
        <w:t>.</w:t>
      </w:r>
    </w:p>
    <w:p w:rsidR="00B14348" w:rsidRPr="00B14348" w:rsidRDefault="00B14348" w:rsidP="00B14348">
      <w:pPr>
        <w:numPr>
          <w:ilvl w:val="0"/>
          <w:numId w:val="4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Other departments show fairly balanced representation.</w:t>
      </w:r>
    </w:p>
    <w:p w:rsidR="00B14348" w:rsidRPr="00B14348" w:rsidRDefault="00B14348" w:rsidP="00B14348">
      <w:pPr>
        <w:numPr>
          <w:ilvl w:val="0"/>
          <w:numId w:val="4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Larger departments may indicate operational importance (e.g., HR, Marketing).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 w:rsidRPr="00B14348">
        <w:rPr>
          <w:rFonts w:ascii="Times New Roman" w:hAnsi="Times New Roman" w:cs="Times New Roman"/>
          <w:b/>
          <w:bCs/>
        </w:rPr>
        <w:t>Salary Insights</w:t>
      </w:r>
    </w:p>
    <w:p w:rsidR="00B14348" w:rsidRPr="00B14348" w:rsidRDefault="00B14348" w:rsidP="00B14348">
      <w:pPr>
        <w:numPr>
          <w:ilvl w:val="0"/>
          <w:numId w:val="5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Salary range: </w:t>
      </w:r>
      <w:r w:rsidRPr="00B14348">
        <w:rPr>
          <w:rFonts w:ascii="Times New Roman" w:hAnsi="Times New Roman" w:cs="Times New Roman"/>
          <w:b/>
          <w:bCs/>
        </w:rPr>
        <w:t>1,006 – 9,985</w:t>
      </w:r>
    </w:p>
    <w:p w:rsidR="00B14348" w:rsidRPr="00B14348" w:rsidRDefault="00B14348" w:rsidP="00B14348">
      <w:pPr>
        <w:numPr>
          <w:ilvl w:val="0"/>
          <w:numId w:val="5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Average salary: </w:t>
      </w:r>
      <w:r w:rsidRPr="00B14348">
        <w:rPr>
          <w:rFonts w:ascii="Times New Roman" w:hAnsi="Times New Roman" w:cs="Times New Roman"/>
          <w:b/>
          <w:bCs/>
        </w:rPr>
        <w:t>~5,330</w:t>
      </w:r>
      <w:r w:rsidRPr="00B14348">
        <w:rPr>
          <w:rFonts w:ascii="Times New Roman" w:hAnsi="Times New Roman" w:cs="Times New Roman"/>
        </w:rPr>
        <w:t xml:space="preserve">; Median: </w:t>
      </w:r>
      <w:r w:rsidRPr="00B14348">
        <w:rPr>
          <w:rFonts w:ascii="Times New Roman" w:hAnsi="Times New Roman" w:cs="Times New Roman"/>
          <w:b/>
          <w:bCs/>
        </w:rPr>
        <w:t>5,188</w:t>
      </w:r>
    </w:p>
    <w:p w:rsidR="00B14348" w:rsidRPr="00B14348" w:rsidRDefault="00B14348" w:rsidP="00B14348">
      <w:pPr>
        <w:numPr>
          <w:ilvl w:val="0"/>
          <w:numId w:val="5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Salaries are moderately spread (Std Dev ≈ 2,603).</w:t>
      </w:r>
    </w:p>
    <w:p w:rsidR="00B14348" w:rsidRPr="00B14348" w:rsidRDefault="00B14348" w:rsidP="00B14348">
      <w:pPr>
        <w:numPr>
          <w:ilvl w:val="0"/>
          <w:numId w:val="5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Mid-level salaries dominate; a few very high salaries likely belong to senior executives.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3.4 </w:t>
      </w:r>
      <w:r w:rsidRPr="00B14348">
        <w:rPr>
          <w:rFonts w:ascii="Times New Roman" w:hAnsi="Times New Roman" w:cs="Times New Roman"/>
          <w:b/>
          <w:bCs/>
        </w:rPr>
        <w:t>Bonus Trends</w:t>
      </w:r>
    </w:p>
    <w:p w:rsidR="00B14348" w:rsidRPr="00B14348" w:rsidRDefault="00B14348" w:rsidP="00B14348">
      <w:pPr>
        <w:numPr>
          <w:ilvl w:val="0"/>
          <w:numId w:val="6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Bonus range: </w:t>
      </w:r>
      <w:r w:rsidRPr="00B14348">
        <w:rPr>
          <w:rFonts w:ascii="Times New Roman" w:hAnsi="Times New Roman" w:cs="Times New Roman"/>
          <w:b/>
          <w:bCs/>
        </w:rPr>
        <w:t>500 – 2,000</w:t>
      </w:r>
    </w:p>
    <w:p w:rsidR="00B14348" w:rsidRPr="00B14348" w:rsidRDefault="00B14348" w:rsidP="00B14348">
      <w:pPr>
        <w:numPr>
          <w:ilvl w:val="0"/>
          <w:numId w:val="6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Average: </w:t>
      </w:r>
      <w:r w:rsidRPr="00B14348">
        <w:rPr>
          <w:rFonts w:ascii="Times New Roman" w:hAnsi="Times New Roman" w:cs="Times New Roman"/>
          <w:b/>
          <w:bCs/>
        </w:rPr>
        <w:t>1,253</w:t>
      </w:r>
      <w:r w:rsidRPr="00B14348">
        <w:rPr>
          <w:rFonts w:ascii="Times New Roman" w:hAnsi="Times New Roman" w:cs="Times New Roman"/>
        </w:rPr>
        <w:t xml:space="preserve">; Median: </w:t>
      </w:r>
      <w:r w:rsidRPr="00B14348">
        <w:rPr>
          <w:rFonts w:ascii="Times New Roman" w:hAnsi="Times New Roman" w:cs="Times New Roman"/>
          <w:b/>
          <w:bCs/>
        </w:rPr>
        <w:t>1,245</w:t>
      </w:r>
    </w:p>
    <w:p w:rsidR="00B14348" w:rsidRPr="00B14348" w:rsidRDefault="00B14348" w:rsidP="00B14348">
      <w:pPr>
        <w:numPr>
          <w:ilvl w:val="0"/>
          <w:numId w:val="6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Fair distribution, suggesting performance-based incentives.</w:t>
      </w:r>
    </w:p>
    <w:p w:rsidR="00B14348" w:rsidRPr="00B14348" w:rsidRDefault="00B14348" w:rsidP="00B14348">
      <w:pPr>
        <w:numPr>
          <w:ilvl w:val="0"/>
          <w:numId w:val="6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Marketing &amp; Finance likely enjoy higher bonuses.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3.5 </w:t>
      </w:r>
      <w:r w:rsidRPr="00B14348">
        <w:rPr>
          <w:rFonts w:ascii="Times New Roman" w:hAnsi="Times New Roman" w:cs="Times New Roman"/>
          <w:b/>
          <w:bCs/>
        </w:rPr>
        <w:t>Geographic Spread</w:t>
      </w:r>
    </w:p>
    <w:p w:rsidR="00B14348" w:rsidRPr="00B14348" w:rsidRDefault="00B14348" w:rsidP="00B14348">
      <w:pPr>
        <w:numPr>
          <w:ilvl w:val="0"/>
          <w:numId w:val="7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Employees are distributed across 5 states.</w:t>
      </w:r>
    </w:p>
    <w:p w:rsidR="00B14348" w:rsidRPr="00B14348" w:rsidRDefault="00B14348" w:rsidP="00B14348">
      <w:pPr>
        <w:numPr>
          <w:ilvl w:val="0"/>
          <w:numId w:val="7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  <w:b/>
          <w:bCs/>
        </w:rPr>
        <w:t>Alaska (209 employees)</w:t>
      </w:r>
      <w:r w:rsidRPr="00B14348">
        <w:rPr>
          <w:rFonts w:ascii="Times New Roman" w:hAnsi="Times New Roman" w:cs="Times New Roman"/>
        </w:rPr>
        <w:t xml:space="preserve"> has the largest workforce concentration.</w:t>
      </w:r>
    </w:p>
    <w:p w:rsidR="00B14348" w:rsidRPr="00B14348" w:rsidRDefault="00B14348" w:rsidP="00B14348">
      <w:pPr>
        <w:numPr>
          <w:ilvl w:val="0"/>
          <w:numId w:val="7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California also holds a significant share.</w:t>
      </w:r>
    </w:p>
    <w:p w:rsidR="00B14348" w:rsidRDefault="00B14348" w:rsidP="00B14348">
      <w:pPr>
        <w:numPr>
          <w:ilvl w:val="0"/>
          <w:numId w:val="7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Smaller states host fewer employees, likely branch/satellite offices.</w:t>
      </w:r>
    </w:p>
    <w:p w:rsidR="00B14348" w:rsidRDefault="00B14348" w:rsidP="00B14348">
      <w:pPr>
        <w:ind w:right="-514"/>
        <w:rPr>
          <w:rFonts w:ascii="Times New Roman" w:hAnsi="Times New Roman" w:cs="Times New Roman"/>
        </w:rPr>
      </w:pPr>
    </w:p>
    <w:p w:rsidR="00B14348" w:rsidRDefault="00B14348" w:rsidP="00B14348">
      <w:pPr>
        <w:ind w:right="-514"/>
        <w:rPr>
          <w:rFonts w:ascii="Times New Roman" w:hAnsi="Times New Roman" w:cs="Times New Roman"/>
        </w:rPr>
      </w:pPr>
    </w:p>
    <w:p w:rsidR="00B14348" w:rsidRPr="00B14348" w:rsidRDefault="00B14348" w:rsidP="00B14348">
      <w:pPr>
        <w:ind w:right="-514"/>
        <w:rPr>
          <w:rFonts w:ascii="Times New Roman" w:hAnsi="Times New Roman" w:cs="Times New Roman"/>
        </w:rPr>
      </w:pP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4348">
        <w:rPr>
          <w:rFonts w:ascii="Times New Roman" w:hAnsi="Times New Roman" w:cs="Times New Roman"/>
          <w:b/>
          <w:bCs/>
          <w:sz w:val="28"/>
          <w:szCs w:val="28"/>
          <w:u w:val="single"/>
        </w:rPr>
        <w:t>4. Recommendations</w:t>
      </w:r>
    </w:p>
    <w:p w:rsidR="00B14348" w:rsidRPr="00B14348" w:rsidRDefault="00B14348" w:rsidP="00B14348">
      <w:pPr>
        <w:pStyle w:val="ListParagraph"/>
        <w:numPr>
          <w:ilvl w:val="1"/>
          <w:numId w:val="9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  <w:b/>
          <w:bCs/>
        </w:rPr>
        <w:t>Talent Development &amp; Retention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Encourage </w:t>
      </w:r>
      <w:r w:rsidRPr="00B14348">
        <w:rPr>
          <w:rFonts w:ascii="Times New Roman" w:hAnsi="Times New Roman" w:cs="Times New Roman"/>
          <w:b/>
          <w:bCs/>
        </w:rPr>
        <w:t>leadership training</w:t>
      </w:r>
      <w:r w:rsidRPr="00B14348">
        <w:rPr>
          <w:rFonts w:ascii="Times New Roman" w:hAnsi="Times New Roman" w:cs="Times New Roman"/>
        </w:rPr>
        <w:t xml:space="preserve"> for younger employees to fill the upcoming senior-level gap.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Improve </w:t>
      </w:r>
      <w:r w:rsidRPr="00B14348">
        <w:rPr>
          <w:rFonts w:ascii="Times New Roman" w:hAnsi="Times New Roman" w:cs="Times New Roman"/>
          <w:b/>
          <w:bCs/>
        </w:rPr>
        <w:t>retention strategies</w:t>
      </w:r>
      <w:r w:rsidRPr="00B14348">
        <w:rPr>
          <w:rFonts w:ascii="Times New Roman" w:hAnsi="Times New Roman" w:cs="Times New Roman"/>
        </w:rPr>
        <w:t xml:space="preserve"> for employees above 45 to maintain experience balance.</w:t>
      </w:r>
    </w:p>
    <w:p w:rsidR="00B14348" w:rsidRPr="00B14348" w:rsidRDefault="00B14348" w:rsidP="00B14348">
      <w:pPr>
        <w:ind w:left="36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4.2 </w:t>
      </w:r>
      <w:r w:rsidRPr="00B14348">
        <w:rPr>
          <w:rFonts w:ascii="Times New Roman" w:hAnsi="Times New Roman" w:cs="Times New Roman"/>
          <w:b/>
          <w:bCs/>
        </w:rPr>
        <w:t>Compensation Strategy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Conduct </w:t>
      </w:r>
      <w:r w:rsidRPr="00B14348">
        <w:rPr>
          <w:rFonts w:ascii="Times New Roman" w:hAnsi="Times New Roman" w:cs="Times New Roman"/>
          <w:b/>
          <w:bCs/>
        </w:rPr>
        <w:t>pay equity analysis</w:t>
      </w:r>
      <w:r w:rsidRPr="00B14348">
        <w:rPr>
          <w:rFonts w:ascii="Times New Roman" w:hAnsi="Times New Roman" w:cs="Times New Roman"/>
        </w:rPr>
        <w:t xml:space="preserve"> to reduce disparities across departments.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Align high salaries with measurable performance outcomes.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Review </w:t>
      </w:r>
      <w:r w:rsidRPr="00B14348">
        <w:rPr>
          <w:rFonts w:ascii="Times New Roman" w:hAnsi="Times New Roman" w:cs="Times New Roman"/>
          <w:b/>
          <w:bCs/>
        </w:rPr>
        <w:t>bonus policies</w:t>
      </w:r>
      <w:r w:rsidRPr="00B14348">
        <w:rPr>
          <w:rFonts w:ascii="Times New Roman" w:hAnsi="Times New Roman" w:cs="Times New Roman"/>
        </w:rPr>
        <w:t xml:space="preserve"> to ensure fairness and motivation across all teams.</w:t>
      </w:r>
    </w:p>
    <w:p w:rsidR="00B14348" w:rsidRPr="00B14348" w:rsidRDefault="00B14348" w:rsidP="00B14348">
      <w:pPr>
        <w:ind w:left="36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4.3 </w:t>
      </w:r>
      <w:r w:rsidRPr="00B14348">
        <w:rPr>
          <w:rFonts w:ascii="Times New Roman" w:hAnsi="Times New Roman" w:cs="Times New Roman"/>
          <w:b/>
          <w:bCs/>
        </w:rPr>
        <w:t>Workforce Allocation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Reassess HR’s large headcount relative to other departments – possible </w:t>
      </w:r>
      <w:r w:rsidRPr="00B14348">
        <w:rPr>
          <w:rFonts w:ascii="Times New Roman" w:hAnsi="Times New Roman" w:cs="Times New Roman"/>
          <w:b/>
          <w:bCs/>
        </w:rPr>
        <w:t>overstaffing</w:t>
      </w:r>
      <w:r w:rsidRPr="00B14348">
        <w:rPr>
          <w:rFonts w:ascii="Times New Roman" w:hAnsi="Times New Roman" w:cs="Times New Roman"/>
        </w:rPr>
        <w:t>.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Consider reallocating resources to core business functions (e.g., Marketing, Finance).</w:t>
      </w:r>
    </w:p>
    <w:p w:rsidR="00B14348" w:rsidRPr="00B14348" w:rsidRDefault="00B14348" w:rsidP="00B14348">
      <w:pPr>
        <w:pStyle w:val="ListParagraph"/>
        <w:numPr>
          <w:ilvl w:val="1"/>
          <w:numId w:val="10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  <w:b/>
          <w:bCs/>
        </w:rPr>
        <w:t>Geographic Operations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>Evaluate why Alaska has the highest concentration – operational necessity or imbalance.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Consider </w:t>
      </w:r>
      <w:r w:rsidRPr="00B14348">
        <w:rPr>
          <w:rFonts w:ascii="Times New Roman" w:hAnsi="Times New Roman" w:cs="Times New Roman"/>
          <w:b/>
          <w:bCs/>
        </w:rPr>
        <w:t>diversifying workforce presence</w:t>
      </w:r>
      <w:r w:rsidRPr="00B14348">
        <w:rPr>
          <w:rFonts w:ascii="Times New Roman" w:hAnsi="Times New Roman" w:cs="Times New Roman"/>
        </w:rPr>
        <w:t xml:space="preserve"> to other states to reduce dependency risk.</w:t>
      </w:r>
    </w:p>
    <w:p w:rsidR="00B14348" w:rsidRPr="00B14348" w:rsidRDefault="00B14348" w:rsidP="00B14348">
      <w:pPr>
        <w:ind w:left="360" w:right="-5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4.5 </w:t>
      </w:r>
      <w:r w:rsidRPr="00B14348">
        <w:rPr>
          <w:rFonts w:ascii="Times New Roman" w:hAnsi="Times New Roman" w:cs="Times New Roman"/>
          <w:b/>
          <w:bCs/>
        </w:rPr>
        <w:t>Future Analytics Opportunities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Build </w:t>
      </w:r>
      <w:r w:rsidRPr="00B14348">
        <w:rPr>
          <w:rFonts w:ascii="Times New Roman" w:hAnsi="Times New Roman" w:cs="Times New Roman"/>
          <w:b/>
          <w:bCs/>
        </w:rPr>
        <w:t>predictive models</w:t>
      </w:r>
      <w:r w:rsidRPr="00B14348">
        <w:rPr>
          <w:rFonts w:ascii="Times New Roman" w:hAnsi="Times New Roman" w:cs="Times New Roman"/>
        </w:rPr>
        <w:t xml:space="preserve"> (e.g., attrition prediction, salary forecasting).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Use </w:t>
      </w:r>
      <w:r w:rsidRPr="00B14348">
        <w:rPr>
          <w:rFonts w:ascii="Times New Roman" w:hAnsi="Times New Roman" w:cs="Times New Roman"/>
          <w:b/>
          <w:bCs/>
        </w:rPr>
        <w:t>clustering</w:t>
      </w:r>
      <w:r w:rsidRPr="00B14348">
        <w:rPr>
          <w:rFonts w:ascii="Times New Roman" w:hAnsi="Times New Roman" w:cs="Times New Roman"/>
        </w:rPr>
        <w:t xml:space="preserve"> to group employees by salary, age, and bonus for strategic HR planning.</w:t>
      </w:r>
    </w:p>
    <w:p w:rsidR="00B14348" w:rsidRPr="00B14348" w:rsidRDefault="00B14348" w:rsidP="00B14348">
      <w:pPr>
        <w:numPr>
          <w:ilvl w:val="1"/>
          <w:numId w:val="8"/>
        </w:numPr>
        <w:ind w:right="-514"/>
        <w:rPr>
          <w:rFonts w:ascii="Times New Roman" w:hAnsi="Times New Roman" w:cs="Times New Roman"/>
        </w:rPr>
      </w:pPr>
      <w:r w:rsidRPr="00B14348">
        <w:rPr>
          <w:rFonts w:ascii="Times New Roman" w:hAnsi="Times New Roman" w:cs="Times New Roman"/>
        </w:rPr>
        <w:t xml:space="preserve">Track </w:t>
      </w:r>
      <w:r w:rsidRPr="00B14348">
        <w:rPr>
          <w:rFonts w:ascii="Times New Roman" w:hAnsi="Times New Roman" w:cs="Times New Roman"/>
          <w:b/>
          <w:bCs/>
        </w:rPr>
        <w:t>department productivity vs. compensation</w:t>
      </w:r>
      <w:r w:rsidRPr="00B14348">
        <w:rPr>
          <w:rFonts w:ascii="Times New Roman" w:hAnsi="Times New Roman" w:cs="Times New Roman"/>
        </w:rPr>
        <w:t xml:space="preserve"> to refine budgeting.</w:t>
      </w:r>
    </w:p>
    <w:p w:rsidR="00B14348" w:rsidRPr="00B14348" w:rsidRDefault="00B14348" w:rsidP="00B14348">
      <w:pPr>
        <w:ind w:left="-540" w:right="-514"/>
        <w:rPr>
          <w:rFonts w:ascii="Times New Roman" w:hAnsi="Times New Roman" w:cs="Times New Roman"/>
        </w:rPr>
      </w:pPr>
    </w:p>
    <w:sectPr w:rsidR="00B14348" w:rsidRPr="00B14348" w:rsidSect="00B14348">
      <w:headerReference w:type="default" r:id="rId8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508D" w:rsidRDefault="004C508D" w:rsidP="00B14348">
      <w:pPr>
        <w:spacing w:after="0" w:line="240" w:lineRule="auto"/>
      </w:pPr>
      <w:r>
        <w:separator/>
      </w:r>
    </w:p>
  </w:endnote>
  <w:endnote w:type="continuationSeparator" w:id="0">
    <w:p w:rsidR="004C508D" w:rsidRDefault="004C508D" w:rsidP="00B1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drogyne">
    <w:panose1 w:val="05080000000003050000"/>
    <w:charset w:val="00"/>
    <w:family w:val="decorative"/>
    <w:notTrueType/>
    <w:pitch w:val="variable"/>
    <w:sig w:usb0="A00000AF" w:usb1="4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508D" w:rsidRDefault="004C508D" w:rsidP="00B14348">
      <w:pPr>
        <w:spacing w:after="0" w:line="240" w:lineRule="auto"/>
      </w:pPr>
      <w:r>
        <w:separator/>
      </w:r>
    </w:p>
  </w:footnote>
  <w:footnote w:type="continuationSeparator" w:id="0">
    <w:p w:rsidR="004C508D" w:rsidRDefault="004C508D" w:rsidP="00B14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14348" w:rsidRPr="00B14348" w:rsidRDefault="00B14348">
    <w:pPr>
      <w:pStyle w:val="Header"/>
      <w:rPr>
        <w:rFonts w:ascii="Androgyne" w:hAnsi="Androgyne"/>
      </w:rPr>
    </w:pPr>
    <w:r w:rsidRPr="00B14348">
      <w:rPr>
        <w:rFonts w:ascii="Androgyne" w:hAnsi="Androgyne"/>
      </w:rPr>
      <w:tab/>
    </w:r>
    <w:r w:rsidRPr="00B14348">
      <w:rPr>
        <w:rFonts w:ascii="Androgyne" w:hAnsi="Androgyne"/>
      </w:rPr>
      <w:tab/>
      <w:t xml:space="preserve">Bharadwaj </w:t>
    </w:r>
    <w:proofErr w:type="spellStart"/>
    <w:r w:rsidRPr="00B14348">
      <w:rPr>
        <w:rFonts w:ascii="Androgyne" w:hAnsi="Androgyne"/>
      </w:rPr>
      <w:t>Kollepara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25BF"/>
    <w:multiLevelType w:val="multilevel"/>
    <w:tmpl w:val="94E2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C2EB3"/>
    <w:multiLevelType w:val="multilevel"/>
    <w:tmpl w:val="9F3655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32D9768A"/>
    <w:multiLevelType w:val="multilevel"/>
    <w:tmpl w:val="AD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F5ABF"/>
    <w:multiLevelType w:val="multilevel"/>
    <w:tmpl w:val="445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D7528"/>
    <w:multiLevelType w:val="multilevel"/>
    <w:tmpl w:val="91E6C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3E5B7B2C"/>
    <w:multiLevelType w:val="multilevel"/>
    <w:tmpl w:val="529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977FE"/>
    <w:multiLevelType w:val="multilevel"/>
    <w:tmpl w:val="2E2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B13B4"/>
    <w:multiLevelType w:val="multilevel"/>
    <w:tmpl w:val="3EDCFE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6CBE0D85"/>
    <w:multiLevelType w:val="multilevel"/>
    <w:tmpl w:val="B10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46F2F"/>
    <w:multiLevelType w:val="multilevel"/>
    <w:tmpl w:val="74D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26AA7"/>
    <w:multiLevelType w:val="multilevel"/>
    <w:tmpl w:val="8CA6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99627">
    <w:abstractNumId w:val="10"/>
  </w:num>
  <w:num w:numId="2" w16cid:durableId="1524981592">
    <w:abstractNumId w:val="5"/>
  </w:num>
  <w:num w:numId="3" w16cid:durableId="225264885">
    <w:abstractNumId w:val="9"/>
  </w:num>
  <w:num w:numId="4" w16cid:durableId="1632051100">
    <w:abstractNumId w:val="2"/>
  </w:num>
  <w:num w:numId="5" w16cid:durableId="132523608">
    <w:abstractNumId w:val="6"/>
  </w:num>
  <w:num w:numId="6" w16cid:durableId="1298996975">
    <w:abstractNumId w:val="3"/>
  </w:num>
  <w:num w:numId="7" w16cid:durableId="2109035868">
    <w:abstractNumId w:val="8"/>
  </w:num>
  <w:num w:numId="8" w16cid:durableId="795679910">
    <w:abstractNumId w:val="0"/>
  </w:num>
  <w:num w:numId="9" w16cid:durableId="1397968027">
    <w:abstractNumId w:val="7"/>
  </w:num>
  <w:num w:numId="10" w16cid:durableId="1664115637">
    <w:abstractNumId w:val="1"/>
  </w:num>
  <w:num w:numId="11" w16cid:durableId="22645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48"/>
    <w:rsid w:val="00061B2E"/>
    <w:rsid w:val="001E1B0D"/>
    <w:rsid w:val="00485D94"/>
    <w:rsid w:val="004C508D"/>
    <w:rsid w:val="00591987"/>
    <w:rsid w:val="006B28A6"/>
    <w:rsid w:val="00B14348"/>
    <w:rsid w:val="00B8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A608"/>
  <w15:chartTrackingRefBased/>
  <w15:docId w15:val="{365CB662-90CF-4AE9-A1CD-959FE345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3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348"/>
  </w:style>
  <w:style w:type="paragraph" w:styleId="Footer">
    <w:name w:val="footer"/>
    <w:basedOn w:val="Normal"/>
    <w:link w:val="FooterChar"/>
    <w:uiPriority w:val="99"/>
    <w:unhideWhenUsed/>
    <w:rsid w:val="00B1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25D6A-66D3-4F59-80FC-CDA82B9B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 SATYA BHARADWAJ KOLLEPARA</dc:creator>
  <cp:keywords/>
  <dc:description/>
  <cp:lastModifiedBy>HANU SATYA BHARADWAJ KOLLEPARA</cp:lastModifiedBy>
  <cp:revision>2</cp:revision>
  <dcterms:created xsi:type="dcterms:W3CDTF">2025-09-23T03:14:00Z</dcterms:created>
  <dcterms:modified xsi:type="dcterms:W3CDTF">2025-09-23T04:01:00Z</dcterms:modified>
</cp:coreProperties>
</file>