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MODULE BUILDER</w:t>
      </w:r>
    </w:p>
    <w:p>
      <w:pPr>
        <w:jc w:val="center"/>
      </w:pPr>
      <w:r>
        <w:rPr>
          <w:b/>
          <w:color w:val="465F6E"/>
          <w:sz w:val="30"/>
        </w:rPr>
        <w:t>Clean-Room Implementation &amp; Provenance Directive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rPr>
              <w:t>Document</w:t>
            </w:r>
          </w:p>
        </w:tc>
        <w:tc>
          <w:tcPr>
            <w:tcW w:type="dxa" w:w="4997"/>
            <w:vAlign w:val="center"/>
          </w:tcPr>
          <w:p>
            <w:r>
              <w:t>09 — Clean-Room Implementation &amp; Provenance Directive</w:t>
            </w:r>
          </w:p>
        </w:tc>
      </w:tr>
      <w:tr>
        <w:tc>
          <w:tcPr>
            <w:tcW w:type="dxa" w:w="4997"/>
            <w:vAlign w:val="center"/>
          </w:tcPr>
          <w:p>
            <w:r>
              <w:rPr>
                <w:b/>
              </w:rPr>
              <w:t>Purpose</w:t>
            </w:r>
          </w:p>
        </w:tc>
        <w:tc>
          <w:tcPr>
            <w:tcW w:type="dxa" w:w="4997"/>
            <w:vAlign w:val="center"/>
          </w:tcPr>
          <w:p>
            <w:r>
              <w:t>Prevent historical project implementation details from becoming accidental requirements</w:t>
            </w:r>
          </w:p>
        </w:tc>
      </w:tr>
      <w:tr>
        <w:tc>
          <w:tcPr>
            <w:tcW w:type="dxa" w:w="4997"/>
            <w:vAlign w:val="center"/>
          </w:tcPr>
          <w:p>
            <w:r>
              <w:rPr>
                <w:b/>
              </w:rPr>
              <w:t>Applies to</w:t>
            </w:r>
          </w:p>
        </w:tc>
        <w:tc>
          <w:tcPr>
            <w:tcW w:type="dxa" w:w="4997"/>
            <w:vAlign w:val="center"/>
          </w:tcPr>
          <w:p>
            <w:r>
              <w:t>All future implementation work for the new Module Builder build</w:t>
            </w:r>
          </w:p>
        </w:tc>
      </w:tr>
      <w:tr>
        <w:tc>
          <w:tcPr>
            <w:tcW w:type="dxa" w:w="4997"/>
            <w:vAlign w:val="center"/>
          </w:tcPr>
          <w:p>
            <w:r>
              <w:rPr>
                <w:b/>
              </w:rPr>
              <w:t>Status</w:t>
            </w:r>
          </w:p>
        </w:tc>
        <w:tc>
          <w:tcPr>
            <w:tcW w:type="dxa" w:w="4997"/>
            <w:vAlign w:val="center"/>
          </w:tcPr>
          <w:p>
            <w:r>
              <w:t>Authoritative implementation-provenance rule; supplements Documents 01–08</w:t>
            </w:r>
          </w:p>
        </w:tc>
      </w:tr>
    </w:tbl>
    <w:p>
      <w:pPr>
        <w:pStyle w:val="Callout"/>
        <w:jc w:val="center"/>
      </w:pPr>
      <w:r>
        <w:t>Core rule: The new implementation is a clean build. Historical Git history, branches, commits, tags, old file paths, old module names, prior refactors, bug-fix patches, and previous implementation reports are NOT part of the product specification and must not be treated as architectural instructions.</w:t>
      </w:r>
    </w:p>
    <w:p>
      <w:pPr>
        <w:pStyle w:val="Heading1"/>
      </w:pPr>
      <w:r>
        <w:t>1. Objective</w:t>
      </w:r>
    </w:p>
    <w:p>
      <w:r>
        <w:t>This directive establishes a clean-room implementation boundary for the new Module Builder build. The purpose is to ensure that the coding model designs and builds the application from the approved product, UX, interaction, architecture, data/contract, implementation, testing, and decision documents—not from the accidental structure or history of the previous project.</w:t>
      </w:r>
    </w:p>
    <w:p>
      <w:r>
        <w:t>The new build may exist in the same broad product family, but it is considered a new implementation. Its directory structure, module names, file names, Git history, branches, and internal organization are implementation choices to be made from the approved specifications.</w:t>
      </w:r>
    </w:p>
    <w:p>
      <w:pPr>
        <w:pStyle w:val="Heading1"/>
      </w:pPr>
      <w:r>
        <w:t>2. What Is Authoritative</w:t>
      </w:r>
    </w:p>
    <w:p>
      <w:r>
        <w:t>The approved project documentation is authoritative for product behavior and engineering intent. Documents 01–08 define what the product must do, how the experience should behave, the interaction model, the target architecture, contracts and state ownership, implementation sequence, testing/acceptance criteria, and recorded decisions.</w:t>
      </w:r>
    </w:p>
    <w:p>
      <w:r>
        <w:t>This Document 09 is authoritative specifically for implementation provenance: it defines what historical material must be ignored when creating the new implementation.</w:t>
      </w:r>
    </w:p>
    <w:p>
      <w:pPr>
        <w:pStyle w:val="Heading1"/>
      </w:pPr>
      <w:r>
        <w:t>3. Explicitly Non-Authoritative Historical Material</w:t>
      </w:r>
    </w:p>
    <w:p>
      <w:r>
        <w:t>The following are historical references only. They are not instructions to reproduce, preserve, restore, or modify anything:</w:t>
      </w:r>
    </w:p>
    <w:p>
      <w:pPr>
        <w:pStyle w:val="ListBullet"/>
      </w:pPr>
      <w:r>
        <w:t>Any previous Git commit hashes, tags, branches, merge history, or repository state.</w:t>
      </w:r>
    </w:p>
    <w:p>
      <w:pPr>
        <w:pStyle w:val="ListBullet"/>
      </w:pPr>
      <w:r>
        <w:t>Any previous project directory such as a historical module-builder path or any other old workspace location.</w:t>
      </w:r>
    </w:p>
    <w:p>
      <w:pPr>
        <w:pStyle w:val="ListBullet"/>
      </w:pPr>
      <w:r>
        <w:t>Any previous file names, module names, line counts, import graphs, dependency graphs, or implementation-specific folder structures.</w:t>
      </w:r>
    </w:p>
    <w:p>
      <w:pPr>
        <w:pStyle w:val="ListBullet"/>
      </w:pPr>
      <w:r>
        <w:t>Any old implementation reports describing files that were created, modified, deleted, archived, or patched.</w:t>
      </w:r>
    </w:p>
    <w:p>
      <w:pPr>
        <w:pStyle w:val="ListBullet"/>
      </w:pPr>
      <w:r>
        <w:t>Any old bug-fix reports, regression snapshots, live-test reports, or “known-good” code references from the previous implementation.</w:t>
      </w:r>
    </w:p>
    <w:p>
      <w:pPr>
        <w:pStyle w:val="ListBullet"/>
      </w:pPr>
      <w:r>
        <w:t>Any previous experimental architecture, UI experiment, abandoned interaction model, temporary diagnostic UI, or refactor approach that is not explicitly adopted by the final specification.</w:t>
      </w:r>
    </w:p>
    <w:p>
      <w:pPr>
        <w:pStyle w:val="ListBullet"/>
      </w:pPr>
      <w:r>
        <w:t>Any statement phrased as “current code”, “baseline code”, “existing file”, “modify this file”, “restore this commit”, or similar when it refers to the previous implementation.</w:t>
      </w:r>
    </w:p>
    <w:p>
      <w:pPr>
        <w:pStyle w:val="Heading1"/>
      </w:pPr>
      <w:r>
        <w:t>4. Historical Names Must Not Become Implementation Requirements</w:t>
      </w:r>
    </w:p>
    <w:p>
      <w:r>
        <w:t>A historical document may mention names such as main.js, cv-panel.js, scene-manager.js, cv-transform.js, asset-manager.js, or similar implementation files. These names are examples of the previous implementation, not required names for the new project.</w:t>
      </w:r>
    </w:p>
    <w:p>
      <w:r>
        <w:t>The new implementation may use different file names and a different directory structure, provided that the resulting system satisfies the approved architecture and contracts.</w:t>
      </w:r>
    </w:p>
    <w:p>
      <w:pPr>
        <w:pStyle w:val="Heading1"/>
      </w:pPr>
      <w:r>
        <w:t>5. Clean-Room Repository Rule</w:t>
      </w:r>
    </w:p>
    <w:p>
      <w:r>
        <w:t>The new repository should be treated as independent of the previous repository history. The implementation process must not begin by copying the old project structure and then refactoring it. It should begin from the approved specifications and establish the new structure intentionally.</w:t>
      </w:r>
    </w:p>
    <w:p>
      <w:r>
        <w:t>Git should be initialized for the new implementation as a fresh history. The first commit should represent the new project foundation, not an imported historical commit. Previous branch names and tags have no authority in the new repository.</w:t>
      </w:r>
    </w:p>
    <w:p>
      <w:pPr>
        <w:pStyle w:val="Heading1"/>
      </w:pPr>
      <w:r>
        <w:t>6. Existing Assets and External Dependencies</w:t>
      </w:r>
    </w:p>
    <w:p>
      <w:r>
        <w:t>Existing reusable assets are not automatically prohibited. Product assets such as GLB files, textures, reference art, or other legitimate project resources may be reused when they are required by the product and are supplied separately from the historical codebase.</w:t>
      </w:r>
    </w:p>
    <w:p>
      <w:r>
        <w:t>Reusing an asset does not imply reusing its previous loader, directory structure, naming scheme, or implementation. The new implementation should integrate the asset according to the new architecture and requirements.</w:t>
      </w:r>
    </w:p>
    <w:p>
      <w:r>
        <w:t>Likewise, approved external technologies such as Three.js, GLTFLoader/GLTFExporter, MediaPipe, browser APIs, and other documented dependencies may be used because they are part of the product/technical requirements—not because the old project used them.</w:t>
      </w:r>
    </w:p>
    <w:p>
      <w:pPr>
        <w:pStyle w:val="Heading1"/>
      </w:pPr>
      <w:r>
        <w:t>7. Handling Historical Details That Appear Inside the Documents</w:t>
      </w:r>
    </w:p>
    <w:p>
      <w:r>
        <w:t>Some earlier working documents contain both useful technical knowledge and historical implementation references. When such a document is encountered, the model must separate requirement from history.</w:t>
      </w:r>
    </w:p>
    <w:p>
      <w:pPr>
        <w:pStyle w:val="ListBullet"/>
      </w:pPr>
      <w:r>
        <w:t>If the statement describes desired behavior or an approved architectural rule, treat it as specification.</w:t>
      </w:r>
    </w:p>
    <w:p>
      <w:pPr>
        <w:pStyle w:val="ListBullet"/>
      </w:pPr>
      <w:r>
        <w:t>If the statement describes how the old implementation happened to work, treat it as historical evidence only.</w:t>
      </w:r>
    </w:p>
    <w:p>
      <w:pPr>
        <w:pStyle w:val="ListBullet"/>
      </w:pPr>
      <w:r>
        <w:t>If the statement conflicts with a later explicit decision in the approved decision log or other final specification, follow the later approved decision.</w:t>
      </w:r>
    </w:p>
    <w:p>
      <w:pPr>
        <w:pStyle w:val="ListBullet"/>
      </w:pPr>
      <w:r>
        <w:t>If two approved documents still appear to conflict, do not silently invent a rule. Flag the conflict before implementing the affected behavior.</w:t>
      </w:r>
    </w:p>
    <w:p>
      <w:pPr>
        <w:pStyle w:val="Heading1"/>
      </w:pPr>
      <w:r>
        <w:t>8. No Historical Code Inheritance by Default</w:t>
      </w:r>
    </w:p>
    <w:p>
      <w:r>
        <w:t>The coding model must not assume that a previous implementation is “known good” merely because an old report says that tests passed. Historical test results describe a previous system and are not proof that the new implementation is correct.</w:t>
      </w:r>
    </w:p>
    <w:p>
      <w:r>
        <w:t>The new system must earn correctness through the current Testing &amp; Acceptance Plan. Previous fixes may provide useful engineering lessons, but they do not replace current verification.</w:t>
      </w:r>
    </w:p>
    <w:p>
      <w:pPr>
        <w:pStyle w:val="Heading1"/>
      </w:pPr>
      <w:r>
        <w:t>9. Implementation Freedom Within the Specification</w:t>
      </w:r>
    </w:p>
    <w:p>
      <w:r>
        <w:t>The clean-room rule does not force unnecessary reinvention. The implementation model may choose the most maintainable solution that satisfies the documents. It may introduce new file names, helper functions, module boundaries, test utilities, and internal abstractions when these improve clarity and do not violate the architecture.</w:t>
      </w:r>
    </w:p>
    <w:p>
      <w:r>
        <w:t>Implementation freedom stops at the specification boundary: product behavior, ownership rules, interaction semantics, forbidden dependencies, acceptance criteria, and explicit decisions remain binding.</w:t>
      </w:r>
    </w:p>
    <w:p>
      <w:pPr>
        <w:pStyle w:val="Heading1"/>
      </w:pPr>
      <w:r>
        <w:t>10. Required Behavior of the Coding Model</w:t>
      </w:r>
    </w:p>
    <w:p>
      <w:r>
        <w:t>Before writing substantial application code, the model should:</w:t>
      </w:r>
    </w:p>
    <w:p>
      <w:pPr>
        <w:pStyle w:val="ListBullet"/>
      </w:pPr>
      <w:r>
        <w:t>Read all supplied project documents.</w:t>
      </w:r>
    </w:p>
    <w:p>
      <w:pPr>
        <w:pStyle w:val="ListBullet"/>
      </w:pPr>
      <w:r>
        <w:t>Produce a concise interpretation of the final requirements and identify any unresolved conflicts.</w:t>
      </w:r>
    </w:p>
    <w:p>
      <w:pPr>
        <w:pStyle w:val="ListBullet"/>
      </w:pPr>
      <w:r>
        <w:t>Inspect the actual new workspace and describe its current state.</w:t>
      </w:r>
    </w:p>
    <w:p>
      <w:pPr>
        <w:pStyle w:val="ListBullet"/>
      </w:pPr>
      <w:r>
        <w:t>Propose the new implementation structure based on the target architecture.</w:t>
      </w:r>
    </w:p>
    <w:p>
      <w:pPr>
        <w:pStyle w:val="ListBullet"/>
      </w:pPr>
      <w:r>
        <w:t>Define or confirm the contracts before building cross-engine integrations.</w:t>
      </w:r>
    </w:p>
    <w:p>
      <w:pPr>
        <w:pStyle w:val="ListBullet"/>
      </w:pPr>
      <w:r>
        <w:t>Build incrementally, test each phase, diagnose failures, and re-test before progressing.</w:t>
      </w:r>
    </w:p>
    <w:p>
      <w:pPr>
        <w:pStyle w:val="ListBullet"/>
      </w:pPr>
      <w:r>
        <w:t>Never use historical repository structure as a reason to create or preserve a file.</w:t>
      </w:r>
    </w:p>
    <w:p>
      <w:pPr>
        <w:pStyle w:val="Heading1"/>
      </w:pPr>
      <w:r>
        <w:t>11. Completion and Acceptance Rule</w:t>
      </w:r>
    </w:p>
    <w:p>
      <w:r>
        <w:t>The new build is considered complete only when the acceptance criteria in the current Testing &amp; Acceptance Plan are satisfied. “The page loads,” “the code looks clean,” or “the old project did this successfully” are not completion criteria on their own.</w:t>
      </w:r>
    </w:p>
    <w:p>
      <w:r>
        <w:t>Each phase should end with explicit verification. A failure should be diagnosed and corrected before the next dependent phase proceeds, so that defects do not accumulate across the system.</w:t>
      </w:r>
    </w:p>
    <w:p>
      <w:pPr>
        <w:pStyle w:val="Heading1"/>
      </w:pPr>
      <w:r>
        <w:t>12. One-Sentence Directive for the New Implementation Thread</w:t>
      </w:r>
    </w:p>
    <w:p>
      <w:r>
        <w:t>Use the following statement as the controlling instruction at the start of the new coding thread:</w:t>
      </w:r>
    </w:p>
    <w:tbl>
      <w:tblPr>
        <w:tblStyle w:val="TableGrid"/>
        <w:tblW w:type="auto" w:w="0"/>
        <w:jc w:val="center"/>
        <w:tblLook w:firstColumn="1" w:firstRow="1" w:lastColumn="0" w:lastRow="0" w:noHBand="0" w:noVBand="1" w:val="04A0"/>
      </w:tblPr>
      <w:tblGrid>
        <w:gridCol w:w="9994"/>
      </w:tblGrid>
      <w:tr>
        <w:tc>
          <w:tcPr>
            <w:tcW w:type="dxa" w:w="9994"/>
            <w:vAlign w:val="center"/>
          </w:tcPr>
          <w:p>
            <w:pPr>
              <w:jc w:val="center"/>
            </w:pPr>
            <w:r>
              <w:rPr>
                <w:b/>
                <w:sz w:val="22"/>
              </w:rPr>
              <w:t>“Treat the supplied Module Builder specification documents as the source of truth. Build the new implementation cleanly from those documents. Do not inherit or reproduce previous Git history, branches, commits, tags, file paths, module names, architecture remnants, experimental code, or historical bug fixes unless the current specification independently requires the same behavior. Choose the new implementation structure deliberately, validate each phase against the current acceptance criteria, and do not silently resolve specification conflicts by guessing.”</w:t>
            </w:r>
          </w:p>
        </w:tc>
      </w:tr>
    </w:tbl>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Module Builder — Clean-Room Implementation &amp; Provenance Directive | Document 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4B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55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7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Builder — Clean-Room Implementation &amp; Provenance Directive</dc:title>
  <dc:subject>Clean-room implementation rules for a fresh rebuild</dc:subject>
  <dc:creator>OpenAI</dc:creator>
  <cp:keywords>Module Builder, clean-room, implementation, Git history, architecture,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