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44E88" w14:textId="77777777" w:rsidR="00AF59F2" w:rsidRPr="00A41C72" w:rsidRDefault="00AF59F2" w:rsidP="00AF59F2">
      <w:pPr>
        <w:spacing w:line="360" w:lineRule="auto"/>
        <w:jc w:val="both"/>
        <w:rPr>
          <w:b/>
          <w:bCs/>
          <w:sz w:val="28"/>
          <w:szCs w:val="28"/>
        </w:rPr>
      </w:pPr>
      <w:r w:rsidRPr="00AF59F2">
        <w:rPr>
          <w:b/>
          <w:bCs/>
          <w:sz w:val="28"/>
          <w:szCs w:val="28"/>
        </w:rPr>
        <w:t>1</w:t>
      </w:r>
      <w:r w:rsidRPr="00A41C72">
        <w:rPr>
          <w:b/>
          <w:bCs/>
          <w:sz w:val="28"/>
          <w:szCs w:val="28"/>
        </w:rPr>
        <w:t>. METHODOLOGY</w:t>
      </w:r>
    </w:p>
    <w:p w14:paraId="01E59DD6" w14:textId="77777777" w:rsidR="00AF59F2" w:rsidRPr="00A41C72" w:rsidRDefault="00AF59F2" w:rsidP="00AF59F2">
      <w:pPr>
        <w:spacing w:line="360" w:lineRule="auto"/>
        <w:jc w:val="both"/>
      </w:pPr>
      <w:r w:rsidRPr="00A41C72">
        <w:t>The proposed system follows a systematic and modular architecture designed to ingest, process, and analyse complex legal texts for outcome prediction. The methodology is divided into several sequential phases: data collection, data extraction, text preprocessing, feature extraction, model development, model evaluation, and the integration of explainable AI.</w:t>
      </w:r>
    </w:p>
    <w:p w14:paraId="60E4D9E8" w14:textId="77777777" w:rsidR="00AF59F2" w:rsidRPr="00A41C72" w:rsidRDefault="00AF59F2" w:rsidP="00AF59F2">
      <w:pPr>
        <w:spacing w:line="360" w:lineRule="auto"/>
        <w:jc w:val="both"/>
      </w:pPr>
      <w:r w:rsidRPr="00A41C72">
        <w:rPr>
          <w:b/>
          <w:bCs/>
        </w:rPr>
        <w:t>A. Data Collection</w:t>
      </w:r>
      <w:r w:rsidRPr="00A41C72">
        <w:t xml:space="preserve"> The foundation of the predictive model relies on a robust and domain-specific dataset. Historical legal judgments are collected from authoritative judicial databases, specifically targeting rulings from the Supreme Court of India and various regional High Courts. The curation process involves acquiring diverse cases spanning multiple legal domains to ensure the model learns generalized judicial patterns rather than isolated anomalies. Each collected document is accompanied by a definitive outcome label, such as "Appeal Allowed" or "Appeal Dismissed," which serves as the ground truth target variable for supervised machine learning.</w:t>
      </w:r>
    </w:p>
    <w:p w14:paraId="468877D8" w14:textId="77777777" w:rsidR="00AF59F2" w:rsidRPr="00A41C72" w:rsidRDefault="00AF59F2" w:rsidP="00AF59F2">
      <w:pPr>
        <w:spacing w:line="360" w:lineRule="auto"/>
        <w:jc w:val="both"/>
      </w:pPr>
      <w:r w:rsidRPr="00A41C72">
        <w:rPr>
          <w:b/>
          <w:bCs/>
        </w:rPr>
        <w:t>B. Data Extraction</w:t>
      </w:r>
      <w:r w:rsidRPr="00A41C72">
        <w:t xml:space="preserve"> Because official court judgments are predominantly archived in </w:t>
      </w:r>
      <w:proofErr w:type="spellStart"/>
      <w:r w:rsidRPr="00A41C72">
        <w:t>uneditable</w:t>
      </w:r>
      <w:proofErr w:type="spellEnd"/>
      <w:r w:rsidRPr="00A41C72">
        <w:t xml:space="preserve"> and unstructured formats, a highly accurate extraction mechanism is required. The system utilizes the PyMuPDF library to parse and extract raw textual data from the downloaded PDF documents. This extraction phase is carefully engineered to navigate the complex layouts of legal files, systematically stripping away non-essential administrative elements, such as watermarks, digital signatures, and standardized page headers, to isolate the core judicial reasoning and factual narratives.</w:t>
      </w:r>
    </w:p>
    <w:p w14:paraId="7C6A6CC9" w14:textId="77777777" w:rsidR="00AF59F2" w:rsidRPr="00A41C72" w:rsidRDefault="00AF59F2" w:rsidP="00AF59F2">
      <w:pPr>
        <w:spacing w:line="360" w:lineRule="auto"/>
        <w:jc w:val="both"/>
      </w:pPr>
      <w:r w:rsidRPr="00A41C72">
        <w:rPr>
          <w:b/>
          <w:bCs/>
        </w:rPr>
        <w:t>C. Text Preprocessing</w:t>
      </w:r>
      <w:r w:rsidRPr="00A41C72">
        <w:t xml:space="preserve"> The raw extracted text inherently contains noise that can severely degrade computational performance. A rigorous preprocessing pipeline is applied to standardize the corpus. Initially, the text undergoes systematic cleaning to remove special characters, numerical artifacts, and formatting inconsistencies, while converting all characters to lowercase. Subsequently, domain-specific stop-word removal is executed to eliminate frequent but legally insignificant terms, thereby reducing data dimensionality. Finally, tokenization is performed to segment the continuous text into discrete, analysable units. To address the challenge of lengthy legal documents, a </w:t>
      </w:r>
      <w:r w:rsidRPr="00A41C72">
        <w:lastRenderedPageBreak/>
        <w:t>chunking strategy is implemented, splitting the text into overlapping segments to bypass standard transformer token limits without losing contextual continuity.</w:t>
      </w:r>
    </w:p>
    <w:p w14:paraId="19DC5AA0" w14:textId="77777777" w:rsidR="00AF59F2" w:rsidRPr="00A41C72" w:rsidRDefault="00AF59F2" w:rsidP="00AF59F2">
      <w:pPr>
        <w:spacing w:line="360" w:lineRule="auto"/>
        <w:jc w:val="both"/>
      </w:pPr>
      <w:r w:rsidRPr="00A41C72">
        <w:rPr>
          <w:b/>
          <w:bCs/>
        </w:rPr>
        <w:t>D. Feature Extraction</w:t>
      </w:r>
      <w:r w:rsidRPr="00A41C72">
        <w:t xml:space="preserve"> To enable mathematical modelling, the pre-processed textual tokens are transformed into high-dimensional numerical vectors. This phase utilizes a dual-pronged representational approach. First, Term Frequency-Inverse Document Frequency (TF-IDF) vectorization is applied to capture the statistical significance and frequency distribution of key legal terminologies across the corpus. Building upon this, the system leverages Legal-BERT embeddings to capture deep contextual semantics and statutory nuances. As a domain-adapted transformer architecture, Legal-BERT generates dense vector representations that preserve the complex linguistic structures, dependencies, and argumentative logic inherent in legal jurisprudence.</w:t>
      </w:r>
    </w:p>
    <w:p w14:paraId="358D6C7D" w14:textId="77777777" w:rsidR="00AF59F2" w:rsidRPr="00A41C72" w:rsidRDefault="00AF59F2" w:rsidP="00AF59F2">
      <w:pPr>
        <w:spacing w:line="360" w:lineRule="auto"/>
        <w:jc w:val="both"/>
      </w:pPr>
      <w:r w:rsidRPr="00A41C72">
        <w:rPr>
          <w:b/>
          <w:bCs/>
        </w:rPr>
        <w:t>E. Model Development</w:t>
      </w:r>
      <w:r w:rsidRPr="00A41C72">
        <w:t xml:space="preserve"> The extracted feature vectors serve as the foundational input for the predictive engine. The core of the system involves training advanced machine learning models to map the semantic features to specific case outcomes. A classification architecture, fine-tuned upon the Legal-BERT base, is developed to identify underlying patterns in judicial reasoning. The model utilizes supervised learning techniques, adjusting its internal weights through iterative gradient descent to accurately classify whether a given set of case facts and legal arguments will result in a favourable or unfavourable verdict.</w:t>
      </w:r>
    </w:p>
    <w:p w14:paraId="0D87D260" w14:textId="77777777" w:rsidR="00AF59F2" w:rsidRPr="00A41C72" w:rsidRDefault="00AF59F2" w:rsidP="00AF59F2">
      <w:pPr>
        <w:spacing w:line="360" w:lineRule="auto"/>
        <w:jc w:val="both"/>
      </w:pPr>
      <w:r w:rsidRPr="00A41C72">
        <w:rPr>
          <w:b/>
          <w:bCs/>
        </w:rPr>
        <w:t>F. Model Evaluation</w:t>
      </w:r>
      <w:r w:rsidRPr="00A41C72">
        <w:t xml:space="preserve"> To ensure the reliability and empirical validity of the predictive system, a rigorous evaluation framework is implemented. The model's performance is quantified using a standard suite of statistical metrics. Accuracy is calculated to measure the overall correctness of the outcome predictions across the dataset. Precision and Recall are evaluated to assess the model's exactness and its capability to identify specific outcomes without generating excessive false positives or false negatives. Furthermore, the F1-Score is utilized to provide a harmonic mean of precision and recall, serving as a critical indicator of the model's stability and robustness, particularly when handling the inherent class imbalances typical in appellate legal datasets.</w:t>
      </w:r>
    </w:p>
    <w:p w14:paraId="2E9E73FC" w14:textId="77777777" w:rsidR="00AF59F2" w:rsidRPr="00A41C72" w:rsidRDefault="00AF59F2" w:rsidP="00AF59F2">
      <w:pPr>
        <w:spacing w:line="360" w:lineRule="auto"/>
        <w:jc w:val="both"/>
      </w:pPr>
      <w:r w:rsidRPr="00A41C72">
        <w:rPr>
          <w:b/>
          <w:bCs/>
        </w:rPr>
        <w:lastRenderedPageBreak/>
        <w:t>G. Explainable AI (XAI)</w:t>
      </w:r>
      <w:r w:rsidRPr="00A41C72">
        <w:t xml:space="preserve"> Recognizing that transparency is a fundamental requisite in the legal sector, the final phase of the methodology incorporates Explainable Artificial Intelligence. The system integrates Shapley Additive Explanations (SHAP) to deconstruct the neural network's decision-making process. SHAP applies game-theoretic principles to assign a mathematical importance value to each individual token, identifying precisely which words, factual statements, or legal phrases most significantly influenced the final prediction. This capability transforms the predictive pipeline from an opaque black-box into an interpretable decision-support tool, allowing legal professionals to visually verify and trust the rationale driving the AI's conclusions.</w:t>
      </w:r>
    </w:p>
    <w:p w14:paraId="0FD44C7D" w14:textId="77777777" w:rsidR="00AF59F2" w:rsidRDefault="00AF59F2" w:rsidP="00AF59F2">
      <w:pPr>
        <w:spacing w:line="360" w:lineRule="auto"/>
        <w:jc w:val="both"/>
      </w:pPr>
    </w:p>
    <w:p w14:paraId="67C0FF59" w14:textId="77777777" w:rsidR="00AF59F2" w:rsidRDefault="00AF59F2"/>
    <w:sectPr w:rsidR="00AF59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9F2"/>
    <w:rsid w:val="00AF59F2"/>
    <w:rsid w:val="00E729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86B92"/>
  <w15:chartTrackingRefBased/>
  <w15:docId w15:val="{DE70223B-5B6A-4B09-8C45-4289D1153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9F2"/>
  </w:style>
  <w:style w:type="paragraph" w:styleId="Heading1">
    <w:name w:val="heading 1"/>
    <w:basedOn w:val="Normal"/>
    <w:next w:val="Normal"/>
    <w:link w:val="Heading1Char"/>
    <w:uiPriority w:val="9"/>
    <w:qFormat/>
    <w:rsid w:val="00AF5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9F2"/>
    <w:rPr>
      <w:rFonts w:eastAsiaTheme="majorEastAsia" w:cstheme="majorBidi"/>
      <w:color w:val="272727" w:themeColor="text1" w:themeTint="D8"/>
    </w:rPr>
  </w:style>
  <w:style w:type="paragraph" w:styleId="Title">
    <w:name w:val="Title"/>
    <w:basedOn w:val="Normal"/>
    <w:next w:val="Normal"/>
    <w:link w:val="TitleChar"/>
    <w:uiPriority w:val="10"/>
    <w:qFormat/>
    <w:rsid w:val="00AF5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9F2"/>
    <w:pPr>
      <w:spacing w:before="160"/>
      <w:jc w:val="center"/>
    </w:pPr>
    <w:rPr>
      <w:i/>
      <w:iCs/>
      <w:color w:val="404040" w:themeColor="text1" w:themeTint="BF"/>
    </w:rPr>
  </w:style>
  <w:style w:type="character" w:customStyle="1" w:styleId="QuoteChar">
    <w:name w:val="Quote Char"/>
    <w:basedOn w:val="DefaultParagraphFont"/>
    <w:link w:val="Quote"/>
    <w:uiPriority w:val="29"/>
    <w:rsid w:val="00AF59F2"/>
    <w:rPr>
      <w:i/>
      <w:iCs/>
      <w:color w:val="404040" w:themeColor="text1" w:themeTint="BF"/>
    </w:rPr>
  </w:style>
  <w:style w:type="paragraph" w:styleId="ListParagraph">
    <w:name w:val="List Paragraph"/>
    <w:basedOn w:val="Normal"/>
    <w:uiPriority w:val="34"/>
    <w:qFormat/>
    <w:rsid w:val="00AF59F2"/>
    <w:pPr>
      <w:ind w:left="720"/>
      <w:contextualSpacing/>
    </w:pPr>
  </w:style>
  <w:style w:type="character" w:styleId="IntenseEmphasis">
    <w:name w:val="Intense Emphasis"/>
    <w:basedOn w:val="DefaultParagraphFont"/>
    <w:uiPriority w:val="21"/>
    <w:qFormat/>
    <w:rsid w:val="00AF59F2"/>
    <w:rPr>
      <w:i/>
      <w:iCs/>
      <w:color w:val="0F4761" w:themeColor="accent1" w:themeShade="BF"/>
    </w:rPr>
  </w:style>
  <w:style w:type="paragraph" w:styleId="IntenseQuote">
    <w:name w:val="Intense Quote"/>
    <w:basedOn w:val="Normal"/>
    <w:next w:val="Normal"/>
    <w:link w:val="IntenseQuoteChar"/>
    <w:uiPriority w:val="30"/>
    <w:qFormat/>
    <w:rsid w:val="00AF5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9F2"/>
    <w:rPr>
      <w:i/>
      <w:iCs/>
      <w:color w:val="0F4761" w:themeColor="accent1" w:themeShade="BF"/>
    </w:rPr>
  </w:style>
  <w:style w:type="character" w:styleId="IntenseReference">
    <w:name w:val="Intense Reference"/>
    <w:basedOn w:val="DefaultParagraphFont"/>
    <w:uiPriority w:val="32"/>
    <w:qFormat/>
    <w:rsid w:val="00AF59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799</Words>
  <Characters>4558</Characters>
  <Application>Microsoft Office Word</Application>
  <DocSecurity>0</DocSecurity>
  <Lines>37</Lines>
  <Paragraphs>10</Paragraphs>
  <ScaleCrop>false</ScaleCrop>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Raghuvanshi</dc:creator>
  <cp:keywords/>
  <dc:description/>
  <cp:lastModifiedBy>Nikhil Raghuvanshi</cp:lastModifiedBy>
  <cp:revision>1</cp:revision>
  <dcterms:created xsi:type="dcterms:W3CDTF">2026-03-06T15:51:00Z</dcterms:created>
  <dcterms:modified xsi:type="dcterms:W3CDTF">2026-03-06T15:52:00Z</dcterms:modified>
</cp:coreProperties>
</file>