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4"/>
          <w:szCs w:val="34"/>
        </w:rPr>
        <w:t xml:space="preserve">DSA06 DATA HANDLING AND VISUALIZATION</w:t>
      </w:r>
    </w:p>
    <w:p>
      <w:pPr>
        <w:spacing w:after="200"/>
        <w:jc w:val="center"/>
      </w:pPr>
      <w:r>
        <w:rPr>
          <w:rFonts w:ascii="Calibri" w:cs="Calibri" w:eastAsia="Calibri" w:hAnsi="Calibri"/>
          <w:color w:val="2E5597"/>
          <w:sz w:val="24"/>
          <w:szCs w:val="24"/>
        </w:rPr>
        <w:t xml:space="preserve">Activity: Identify Seasonality Patterns | Slot 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Field</w:t>
            </w:r>
          </w:p>
        </w:tc>
        <w:tc>
          <w:tcPr>
            <w:tcW w:type="dxa" w:w="6426"/>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Details</w:t>
            </w:r>
          </w:p>
        </w:tc>
      </w:tr>
      <w:t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Roll No</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8</w:t>
            </w:r>
          </w:p>
        </w:tc>
      </w:tr>
      <w:t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Registration No</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192424141</w:t>
            </w:r>
          </w:p>
        </w:tc>
      </w:tr>
      <w:t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Name</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Bharani Dharan S</w:t>
            </w:r>
          </w:p>
        </w:tc>
      </w:tr>
      <w:t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Time / Total</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20 to 25 minutes / 20 marks</w:t>
            </w:r>
          </w:p>
        </w:tc>
      </w:tr>
      <w:t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Tool</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R (ggplot2 / base R)</w:t>
            </w:r>
          </w:p>
        </w:tc>
      </w:tr>
      <w:t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Series</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SP-D08: Retail sales (lakh rupees), quarterly</w:t>
            </w:r>
          </w:p>
        </w:tc>
      </w:tr>
    </w:tbl>
    <w:p>
      <w:pPr>
        <w:spacing w:after="80"/>
      </w:pPr>
    </w:p>
    <w:p>
      <w:pPr>
        <w:spacing w:after="100" w:line="276"/>
      </w:pPr>
      <w:r>
        <w:rPr>
          <w:rFonts w:ascii="Calibri" w:cs="Calibri" w:eastAsia="Calibri" w:hAnsi="Calibri"/>
          <w:b/>
          <w:bCs/>
          <w:sz w:val="22"/>
          <w:szCs w:val="22"/>
        </w:rPr>
        <w:t xml:space="preserve">Note on the output:</w:t>
      </w:r>
      <w:r>
        <w:rPr>
          <w:rFonts w:ascii="Calibri" w:cs="Calibri" w:eastAsia="Calibri" w:hAnsi="Calibri"/>
          <w:sz w:val="22"/>
          <w:szCs w:val="22"/>
        </w:rPr>
        <w:t xml:space="preserve"> R was not installed where this was prepared. I reproduced R's random-number generator (checked against known R values) so the series is the same one set.seed(13424) gives in R, and computed the results (including decompose, acf and lm) and plots in Python. The R code below is the submission code and should reproduce these numbers in RStudio.</w:t>
      </w:r>
    </w:p>
    <w:p>
      <w:pPr>
        <w:pStyle w:val="Heading2"/>
        <w:spacing w:after="80" w:before="200"/>
      </w:pPr>
      <w:r>
        <w:rPr>
          <w:rFonts w:ascii="Calibri" w:cs="Calibri" w:eastAsia="Calibri" w:hAnsi="Calibri"/>
          <w:b/>
          <w:bCs/>
          <w:color w:val="2E5597"/>
          <w:sz w:val="24"/>
          <w:szCs w:val="24"/>
        </w:rPr>
        <w:t xml:space="preserve">Evidence – series code (unchanged)</w:t>
      </w:r>
    </w:p>
    <w:p>
      <w:pPr>
        <w:pBdr>
          <w:left w:val="single" w:color="2E5597" w:sz="12" w:space="4"/>
        </w:pBdr>
        <w:shd w:fill="F2F2F2" w:val="clear"/>
        <w:spacing w:after="0" w:line="240"/>
      </w:pPr>
      <w:r>
        <w:rPr>
          <w:rFonts w:ascii="Consolas" w:cs="Consolas" w:eastAsia="Consolas" w:hAnsi="Consolas"/>
          <w:sz w:val="17"/>
          <w:szCs w:val="17"/>
        </w:rPr>
        <w:t xml:space="preserve">set.seed(13424)</w:t>
      </w:r>
    </w:p>
    <w:p>
      <w:pPr>
        <w:pBdr>
          <w:left w:val="single" w:color="2E5597" w:sz="12" w:space="4"/>
        </w:pBdr>
        <w:shd w:fill="F2F2F2" w:val="clear"/>
        <w:spacing w:after="0" w:line="240"/>
      </w:pPr>
      <w:r>
        <w:rPr>
          <w:rFonts w:ascii="Consolas" w:cs="Consolas" w:eastAsia="Consolas" w:hAnsi="Consolas"/>
          <w:sz w:val="17"/>
          <w:szCs w:val="17"/>
        </w:rPr>
        <w:t xml:space="preserve">m &lt;- 4                      # observations per cycle (quarterly data)</w:t>
      </w:r>
    </w:p>
    <w:p>
      <w:pPr>
        <w:pBdr>
          <w:left w:val="single" w:color="2E5597" w:sz="12" w:space="4"/>
        </w:pBdr>
        <w:shd w:fill="F2F2F2" w:val="clear"/>
        <w:spacing w:after="0" w:line="240"/>
      </w:pPr>
      <w:r>
        <w:rPr>
          <w:rFonts w:ascii="Consolas" w:cs="Consolas" w:eastAsia="Consolas" w:hAnsi="Consolas"/>
          <w:sz w:val="17"/>
          <w:szCs w:val="17"/>
        </w:rPr>
        <w:t xml:space="preserve">n &lt;- m * 11                 # 11 full cycles</w:t>
      </w:r>
    </w:p>
    <w:p>
      <w:pPr>
        <w:pBdr>
          <w:left w:val="single" w:color="2E5597" w:sz="12" w:space="4"/>
        </w:pBdr>
        <w:shd w:fill="F2F2F2" w:val="clear"/>
        <w:spacing w:after="0" w:line="240"/>
      </w:pPr>
      <w:r>
        <w:rPr>
          <w:rFonts w:ascii="Consolas" w:cs="Consolas" w:eastAsia="Consolas" w:hAnsi="Consolas"/>
          <w:sz w:val="17"/>
          <w:szCs w:val="17"/>
        </w:rPr>
        <w:t xml:space="preserve">t &lt;- 1:n</w:t>
      </w:r>
    </w:p>
    <w:p>
      <w:pPr>
        <w:pBdr>
          <w:left w:val="single" w:color="2E5597" w:sz="12" w:space="4"/>
        </w:pBdr>
        <w:shd w:fill="F2F2F2" w:val="clear"/>
        <w:spacing w:after="0" w:line="240"/>
      </w:pPr>
      <w:r>
        <w:rPr>
          <w:rFonts w:ascii="Consolas" w:cs="Consolas" w:eastAsia="Consolas" w:hAnsi="Consolas"/>
          <w:sz w:val="17"/>
          <w:szCs w:val="17"/>
        </w:rPr>
        <w:t xml:space="preserve">trend &lt;- 120.3 + 1.222 * t</w:t>
      </w:r>
    </w:p>
    <w:p>
      <w:pPr>
        <w:pBdr>
          <w:left w:val="single" w:color="2E5597" w:sz="12" w:space="4"/>
        </w:pBdr>
        <w:shd w:fill="F2F2F2" w:val="clear"/>
        <w:spacing w:after="0" w:line="240"/>
      </w:pPr>
      <w:r>
        <w:rPr>
          <w:rFonts w:ascii="Consolas" w:cs="Consolas" w:eastAsia="Consolas" w:hAnsi="Consolas"/>
          <w:sz w:val="17"/>
          <w:szCs w:val="17"/>
        </w:rPr>
        <w:t xml:space="preserve">sales &lt;- round(trend + 22.4 * cos(2 * pi * (t - 2) / m) + rnorm(n, 0, 5.6), 1)</w:t>
      </w:r>
    </w:p>
    <w:p>
      <w:pPr>
        <w:pBdr>
          <w:left w:val="single" w:color="2E5597" w:sz="12" w:space="4"/>
        </w:pBdr>
        <w:shd w:fill="F2F2F2" w:val="clear"/>
        <w:spacing w:after="0" w:line="240"/>
      </w:pPr>
      <w:r>
        <w:rPr>
          <w:rFonts w:ascii="Consolas" w:cs="Consolas" w:eastAsia="Consolas" w:hAnsi="Consolas"/>
          <w:sz w:val="17"/>
          <w:szCs w:val="17"/>
        </w:rPr>
        <w:t xml:space="preserve">x &lt;- ts(sales, frequency = m, start = c(2013, 1))</w:t>
      </w:r>
    </w:p>
    <w:p>
      <w:pPr>
        <w:pStyle w:val="Heading2"/>
        <w:spacing w:after="80" w:before="200"/>
      </w:pPr>
      <w:r>
        <w:rPr>
          <w:rFonts w:ascii="Calibri" w:cs="Calibri" w:eastAsia="Calibri" w:hAnsi="Calibri"/>
          <w:b/>
          <w:bCs/>
          <w:color w:val="2E5597"/>
          <w:sz w:val="24"/>
          <w:szCs w:val="24"/>
        </w:rPr>
        <w:t xml:space="preserve">Task 1 – Look at the series [3]</w:t>
      </w:r>
    </w:p>
    <w:p>
      <w:pPr>
        <w:pBdr>
          <w:left w:val="single" w:color="2E5597" w:sz="12" w:space="4"/>
        </w:pBdr>
        <w:shd w:fill="F2F2F2" w:val="clear"/>
        <w:spacing w:after="0" w:line="240"/>
      </w:pPr>
      <w:r>
        <w:rPr>
          <w:rFonts w:ascii="Consolas" w:cs="Consolas" w:eastAsia="Consolas" w:hAnsi="Consolas"/>
          <w:sz w:val="17"/>
          <w:szCs w:val="17"/>
        </w:rPr>
        <w:t xml:space="preserve">plot(x, type = "o", ylab = "Sales (lakh Rs)")</w:t>
      </w:r>
    </w:p>
    <w:p>
      <w:pPr>
        <w:pBdr>
          <w:left w:val="single" w:color="2E5597" w:sz="12" w:space="4"/>
        </w:pBdr>
        <w:shd w:fill="F2F2F2" w:val="clear"/>
        <w:spacing w:after="0" w:line="240"/>
      </w:pPr>
      <w:r>
        <w:rPr>
          <w:rFonts w:ascii="Consolas" w:cs="Consolas" w:eastAsia="Consolas" w:hAnsi="Consolas"/>
          <w:sz w:val="17"/>
          <w:szCs w:val="17"/>
        </w:rPr>
        <w:t xml:space="preserve">length(x); frequency(x); length(x) / frequency(x)</w:t>
      </w:r>
    </w:p>
    <w:p>
      <w:pPr>
        <w:pBdr>
          <w:left w:val="single" w:color="2E5597" w:sz="12" w:space="4"/>
        </w:pBdr>
        <w:shd w:fill="F2F2F2" w:val="clear"/>
        <w:spacing w:after="0" w:line="240"/>
      </w:pPr>
      <w:r>
        <w:rPr>
          <w:rFonts w:ascii="Consolas" w:cs="Consolas" w:eastAsia="Consolas" w:hAnsi="Consolas"/>
          <w:sz w:val="17"/>
          <w:szCs w:val="17"/>
        </w:rPr>
        <w:t xml:space="preserve">coef(lm(sales ~ 1:n))</w:t>
      </w:r>
    </w:p>
    <w:p>
      <w:pPr>
        <w:spacing w:after="100" w:before="80"/>
        <w:jc w:val="center"/>
      </w:pPr>
      <w:r>
        <w:drawing>
          <wp:inline distT="0" distB="0" distL="0" distR="0">
            <wp:extent cx="4191000" cy="1895475"/>
            <wp:effectExtent t="0" r="0" b="0" l="0"/>
            <wp:docPr id="1" name="sp1.png" descr="sp1.png" title="s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1895475"/>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Figure 1. Quarterly sales 2013–2023 with fitted linear trend</w:t>
      </w:r>
    </w:p>
    <w:p>
      <w:pPr>
        <w:pStyle w:val="ListParagraph"/>
        <w:numPr>
          <w:ilvl w:val="0"/>
          <w:numId w:val="2"/>
        </w:numPr>
        <w:spacing w:after="60"/>
      </w:pPr>
      <w:r>
        <w:rPr>
          <w:rFonts w:ascii="Calibri" w:cs="Calibri" w:eastAsia="Calibri" w:hAnsi="Calibri"/>
          <w:b/>
          <w:bCs/>
          <w:sz w:val="22"/>
          <w:szCs w:val="22"/>
        </w:rPr>
        <w:t xml:space="preserve">n = 44</w:t>
      </w:r>
      <w:r>
        <w:rPr>
          <w:rFonts w:ascii="Calibri" w:cs="Calibri" w:eastAsia="Calibri" w:hAnsi="Calibri"/>
          <w:sz w:val="22"/>
          <w:szCs w:val="22"/>
        </w:rPr>
        <w:t xml:space="preserve"> observations; </w:t>
      </w:r>
      <w:r>
        <w:rPr>
          <w:rFonts w:ascii="Calibri" w:cs="Calibri" w:eastAsia="Calibri" w:hAnsi="Calibri"/>
          <w:b/>
          <w:bCs/>
          <w:sz w:val="22"/>
          <w:szCs w:val="22"/>
        </w:rPr>
        <w:t xml:space="preserve">cycle length = 4</w:t>
      </w:r>
      <w:r>
        <w:rPr>
          <w:rFonts w:ascii="Calibri" w:cs="Calibri" w:eastAsia="Calibri" w:hAnsi="Calibri"/>
          <w:sz w:val="22"/>
          <w:szCs w:val="22"/>
        </w:rPr>
        <w:t xml:space="preserve"> (quarters); </w:t>
      </w:r>
      <w:r>
        <w:rPr>
          <w:rFonts w:ascii="Calibri" w:cs="Calibri" w:eastAsia="Calibri" w:hAnsi="Calibri"/>
          <w:b/>
          <w:bCs/>
          <w:sz w:val="22"/>
          <w:szCs w:val="22"/>
        </w:rPr>
        <w:t xml:space="preserve">11 full cycles</w:t>
      </w:r>
      <w:r>
        <w:rPr>
          <w:rFonts w:ascii="Calibri" w:cs="Calibri" w:eastAsia="Calibri" w:hAnsi="Calibri"/>
          <w:sz w:val="22"/>
          <w:szCs w:val="22"/>
        </w:rPr>
        <w:t xml:space="preserve"> (2013–2023).</w:t>
      </w:r>
    </w:p>
    <w:p>
      <w:pPr>
        <w:pStyle w:val="ListParagraph"/>
        <w:numPr>
          <w:ilvl w:val="0"/>
          <w:numId w:val="2"/>
        </w:numPr>
        <w:spacing w:after="60"/>
      </w:pPr>
      <w:r>
        <w:rPr>
          <w:rFonts w:ascii="Calibri" w:cs="Calibri" w:eastAsia="Calibri" w:hAnsi="Calibri"/>
          <w:sz w:val="22"/>
          <w:szCs w:val="22"/>
        </w:rPr>
        <w:t xml:space="preserve">Fitted line: sales = 121.69 + </w:t>
      </w:r>
      <w:r>
        <w:rPr>
          <w:rFonts w:ascii="Calibri" w:cs="Calibri" w:eastAsia="Calibri" w:hAnsi="Calibri"/>
          <w:b/>
          <w:bCs/>
          <w:sz w:val="22"/>
          <w:szCs w:val="22"/>
        </w:rPr>
        <w:t xml:space="preserve">1.15 per quarter</w:t>
      </w:r>
      <w:r>
        <w:rPr>
          <w:rFonts w:ascii="Calibri" w:cs="Calibri" w:eastAsia="Calibri" w:hAnsi="Calibri"/>
          <w:sz w:val="22"/>
          <w:szCs w:val="22"/>
        </w:rPr>
        <w:t xml:space="preserve">. The trend is </w:t>
      </w:r>
      <w:r>
        <w:rPr>
          <w:rFonts w:ascii="Calibri" w:cs="Calibri" w:eastAsia="Calibri" w:hAnsi="Calibri"/>
          <w:b/>
          <w:bCs/>
          <w:sz w:val="22"/>
          <w:szCs w:val="22"/>
        </w:rPr>
        <w:t xml:space="preserve">rising</w:t>
      </w:r>
      <w:r>
        <w:rPr>
          <w:rFonts w:ascii="Calibri" w:cs="Calibri" w:eastAsia="Calibri" w:hAnsi="Calibri"/>
          <w:sz w:val="22"/>
          <w:szCs w:val="22"/>
        </w:rPr>
        <w:t xml:space="preserve"> (about +4.6 lakh per year).</w:t>
      </w:r>
    </w:p>
    <w:p>
      <w:pPr>
        <w:pStyle w:val="Heading2"/>
        <w:spacing w:after="80" w:before="200"/>
      </w:pPr>
      <w:r>
        <w:rPr>
          <w:rFonts w:ascii="Calibri" w:cs="Calibri" w:eastAsia="Calibri" w:hAnsi="Calibri"/>
          <w:b/>
          <w:bCs/>
          <w:color w:val="2E5597"/>
          <w:sz w:val="24"/>
          <w:szCs w:val="24"/>
        </w:rPr>
        <w:t xml:space="preserve">Task 2 – The seasonal pattern [4]</w:t>
      </w:r>
    </w:p>
    <w:p>
      <w:pPr>
        <w:pBdr>
          <w:left w:val="single" w:color="2E5597" w:sz="12" w:space="4"/>
        </w:pBdr>
        <w:shd w:fill="F2F2F2" w:val="clear"/>
        <w:spacing w:after="0" w:line="240"/>
      </w:pPr>
      <w:r>
        <w:rPr>
          <w:rFonts w:ascii="Consolas" w:cs="Consolas" w:eastAsia="Consolas" w:hAnsi="Consolas"/>
          <w:sz w:val="17"/>
          <w:szCs w:val="17"/>
        </w:rPr>
        <w:t xml:space="preserve">dc &lt;- decompose(x)</w:t>
      </w:r>
    </w:p>
    <w:p>
      <w:pPr>
        <w:pBdr>
          <w:left w:val="single" w:color="2E5597" w:sz="12" w:space="4"/>
        </w:pBdr>
        <w:shd w:fill="F2F2F2" w:val="clear"/>
        <w:spacing w:after="0" w:line="240"/>
      </w:pPr>
      <w:r>
        <w:rPr>
          <w:rFonts w:ascii="Consolas" w:cs="Consolas" w:eastAsia="Consolas" w:hAnsi="Consolas"/>
          <w:sz w:val="17"/>
          <w:szCs w:val="17"/>
        </w:rPr>
        <w:t xml:space="preserve">round(dc$figure, 2)</w:t>
      </w:r>
    </w:p>
    <w:p>
      <w:pPr>
        <w:pBdr>
          <w:left w:val="single" w:color="2E5597" w:sz="12" w:space="4"/>
        </w:pBdr>
        <w:shd w:fill="F2F2F2" w:val="clear"/>
        <w:spacing w:after="0" w:line="240"/>
      </w:pPr>
      <w:r>
        <w:rPr>
          <w:rFonts w:ascii="Consolas" w:cs="Consolas" w:eastAsia="Consolas" w:hAnsi="Consolas"/>
          <w:sz w:val="17"/>
          <w:szCs w:val="17"/>
        </w:rPr>
        <w:t xml:space="preserve">plot(dc)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rPr>
          <w:tblHeader/>
        </w:trPr>
        <w:tc>
          <w:tcPr>
            <w:tcW w:type="dxa" w:w="30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Quarter</w:t>
            </w:r>
          </w:p>
        </w:tc>
        <w:tc>
          <w:tcPr>
            <w:tcW w:type="dxa" w:w="15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Q1</w:t>
            </w:r>
          </w:p>
        </w:tc>
        <w:tc>
          <w:tcPr>
            <w:tcW w:type="dxa" w:w="15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Q2</w:t>
            </w:r>
          </w:p>
        </w:tc>
        <w:tc>
          <w:tcPr>
            <w:tcW w:type="dxa" w:w="15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Q3</w:t>
            </w:r>
          </w:p>
        </w:tc>
        <w:tc>
          <w:tcPr>
            <w:tcW w:type="dxa" w:w="1526"/>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Q4</w:t>
            </w:r>
          </w:p>
        </w:tc>
      </w:tr>
      <w:t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Seasonal value (lakh Rs)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+1.57</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+22.29</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−2.28</w:t>
            </w:r>
          </w:p>
        </w:tc>
        <w:tc>
          <w:tcPr>
            <w:tcW w:type="dxa" w:w="15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−21.58</w:t>
            </w:r>
          </w:p>
        </w:tc>
      </w:tr>
    </w:tbl>
    <w:p>
      <w:pPr>
        <w:pStyle w:val="ListParagraph"/>
        <w:numPr>
          <w:ilvl w:val="0"/>
          <w:numId w:val="2"/>
        </w:numPr>
        <w:spacing w:after="60"/>
      </w:pPr>
      <w:r>
        <w:rPr>
          <w:rFonts w:ascii="Calibri" w:cs="Calibri" w:eastAsia="Calibri" w:hAnsi="Calibri"/>
          <w:b/>
          <w:bCs/>
          <w:sz w:val="22"/>
          <w:szCs w:val="22"/>
        </w:rPr>
        <w:t xml:space="preserve">Peak quarter: Q2 (+22.29)</w:t>
      </w:r>
      <w:r>
        <w:rPr>
          <w:rFonts w:ascii="Calibri" w:cs="Calibri" w:eastAsia="Calibri" w:hAnsi="Calibri"/>
          <w:sz w:val="22"/>
          <w:szCs w:val="22"/>
        </w:rPr>
        <w:t xml:space="preserve">; </w:t>
      </w:r>
      <w:r>
        <w:rPr>
          <w:rFonts w:ascii="Calibri" w:cs="Calibri" w:eastAsia="Calibri" w:hAnsi="Calibri"/>
          <w:b/>
          <w:bCs/>
          <w:sz w:val="22"/>
          <w:szCs w:val="22"/>
        </w:rPr>
        <w:t xml:space="preserve">trough quarter: Q4 (−21.58)</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Seasonal swing = 22.29 − (−21.58) = 43.87 lakh rupees.</w:t>
      </w:r>
    </w:p>
    <w:p>
      <w:pPr>
        <w:pStyle w:val="Heading2"/>
        <w:spacing w:after="80" w:before="200"/>
      </w:pPr>
      <w:r>
        <w:rPr>
          <w:rFonts w:ascii="Calibri" w:cs="Calibri" w:eastAsia="Calibri" w:hAnsi="Calibri"/>
          <w:b/>
          <w:bCs/>
          <w:color w:val="2E5597"/>
          <w:sz w:val="24"/>
          <w:szCs w:val="24"/>
        </w:rPr>
        <w:t xml:space="preserve">Task 3 – Is it consistent? [3]</w:t>
      </w:r>
    </w:p>
    <w:p>
      <w:pPr>
        <w:pBdr>
          <w:left w:val="single" w:color="2E5597" w:sz="12" w:space="4"/>
        </w:pBdr>
        <w:shd w:fill="F2F2F2" w:val="clear"/>
        <w:spacing w:after="0" w:line="240"/>
      </w:pPr>
      <w:r>
        <w:rPr>
          <w:rFonts w:ascii="Consolas" w:cs="Consolas" w:eastAsia="Consolas" w:hAnsi="Consolas"/>
          <w:sz w:val="17"/>
          <w:szCs w:val="17"/>
        </w:rPr>
        <w:t xml:space="preserve">library(ggplot2)</w:t>
      </w:r>
    </w:p>
    <w:p>
      <w:pPr>
        <w:pBdr>
          <w:left w:val="single" w:color="2E5597" w:sz="12" w:space="4"/>
        </w:pBdr>
        <w:shd w:fill="F2F2F2" w:val="clear"/>
        <w:spacing w:after="0" w:line="240"/>
      </w:pPr>
      <w:r>
        <w:rPr>
          <w:rFonts w:ascii="Consolas" w:cs="Consolas" w:eastAsia="Consolas" w:hAnsi="Consolas"/>
          <w:sz w:val="17"/>
          <w:szCs w:val="17"/>
        </w:rPr>
        <w:t xml:space="preserve">df &lt;- data.frame(sales = as.numeric(x), pos = as.numeric(cycle(x)),</w:t>
      </w:r>
    </w:p>
    <w:p>
      <w:pPr>
        <w:pBdr>
          <w:left w:val="single" w:color="2E5597" w:sz="12" w:space="4"/>
        </w:pBdr>
        <w:shd w:fill="F2F2F2" w:val="clear"/>
        <w:spacing w:after="0" w:line="240"/>
      </w:pPr>
      <w:r>
        <w:rPr>
          <w:rFonts w:ascii="Consolas" w:cs="Consolas" w:eastAsia="Consolas" w:hAnsi="Consolas"/>
          <w:sz w:val="17"/>
          <w:szCs w:val="17"/>
        </w:rPr>
        <w:t xml:space="preserve">                 year = factor(floor(time(x) + 1e-6)))</w:t>
      </w:r>
    </w:p>
    <w:p>
      <w:pPr>
        <w:pBdr>
          <w:left w:val="single" w:color="2E5597" w:sz="12" w:space="4"/>
        </w:pBdr>
        <w:shd w:fill="F2F2F2" w:val="clear"/>
        <w:spacing w:after="0" w:line="240"/>
      </w:pPr>
      <w:r>
        <w:rPr>
          <w:rFonts w:ascii="Consolas" w:cs="Consolas" w:eastAsia="Consolas" w:hAnsi="Consolas"/>
          <w:sz w:val="17"/>
          <w:szCs w:val="17"/>
        </w:rPr>
        <w:t xml:space="preserve">ggplot(df, aes(pos, sales, group = year, colour = year)) +</w:t>
      </w:r>
    </w:p>
    <w:p>
      <w:pPr>
        <w:pBdr>
          <w:left w:val="single" w:color="2E5597" w:sz="12" w:space="4"/>
        </w:pBdr>
        <w:shd w:fill="F2F2F2" w:val="clear"/>
        <w:spacing w:after="0" w:line="240"/>
      </w:pPr>
      <w:r>
        <w:rPr>
          <w:rFonts w:ascii="Consolas" w:cs="Consolas" w:eastAsia="Consolas" w:hAnsi="Consolas"/>
          <w:sz w:val="17"/>
          <w:szCs w:val="17"/>
        </w:rPr>
        <w:t xml:space="preserve">  geom_line() + geom_point() + scale_x_continuous(breaks = 1:4, labels = paste0("Q", 1:4))</w:t>
      </w:r>
    </w:p>
    <w:p>
      <w:pPr>
        <w:pBdr>
          <w:left w:val="single" w:color="2E5597" w:sz="12" w:space="4"/>
        </w:pBdr>
        <w:shd w:fill="F2F2F2" w:val="clear"/>
        <w:spacing w:after="0" w:line="240"/>
      </w:pPr>
      <w:r>
        <w:rPr>
          <w:rFonts w:ascii="Consolas" w:cs="Consolas" w:eastAsia="Consolas" w:hAnsi="Consolas"/>
          <w:sz w:val="17"/>
          <w:szCs w:val="17"/>
        </w:rPr>
        <w:t xml:space="preserve">table(tapply(seq_along(x), df$year, function(i) which.max(sales[i])))</w:t>
      </w:r>
    </w:p>
    <w:p>
      <w:pPr>
        <w:spacing w:after="100" w:before="80"/>
        <w:jc w:val="center"/>
      </w:pPr>
      <w:r>
        <w:drawing>
          <wp:inline distT="0" distB="0" distL="0" distR="0">
            <wp:extent cx="4476750" cy="1790700"/>
            <wp:effectExtent t="0" r="0" b="0" l="0"/>
            <wp:docPr id="1" name="sp2.png" descr="sp2.png" title="s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790700"/>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Figure 2. Seasonal values (left) and seasonal plot with one line per year (right)</w:t>
      </w:r>
    </w:p>
    <w:p>
      <w:pPr>
        <w:spacing w:after="100" w:line="276"/>
      </w:pPr>
      <w:r>
        <w:rPr>
          <w:rFonts w:ascii="Calibri" w:cs="Calibri" w:eastAsia="Calibri" w:hAnsi="Calibri"/>
          <w:b/>
          <w:bCs/>
          <w:sz w:val="22"/>
          <w:szCs w:val="22"/>
        </w:rPr>
        <w:t xml:space="preserve">The highest value of the year falls in Q2 in all 11 of 11 cycles.</w:t>
      </w:r>
      <w:r>
        <w:rPr>
          <w:rFonts w:ascii="Calibri" w:cs="Calibri" w:eastAsia="Calibri" w:hAnsi="Calibri"/>
          <w:sz w:val="22"/>
          <w:szCs w:val="22"/>
        </w:rPr>
        <w:t xml:space="preserve"> The pattern is </w:t>
      </w:r>
      <w:r>
        <w:rPr>
          <w:rFonts w:ascii="Calibri" w:cs="Calibri" w:eastAsia="Calibri" w:hAnsi="Calibri"/>
          <w:b/>
          <w:bCs/>
          <w:sz w:val="22"/>
          <w:szCs w:val="22"/>
        </w:rPr>
        <w:t xml:space="preserve">consistent</w:t>
      </w:r>
      <w:r>
        <w:rPr>
          <w:rFonts w:ascii="Calibri" w:cs="Calibri" w:eastAsia="Calibri" w:hAnsi="Calibri"/>
          <w:sz w:val="22"/>
          <w:szCs w:val="22"/>
        </w:rPr>
        <w:t xml:space="preserve">: every yearly line rises from Q1 to Q2, then falls through Q3 to a low in Q4, and the lines are stacked upward year by year (the trend), not crossing.</w:t>
      </w:r>
    </w:p>
    <w:p>
      <w:pPr>
        <w:pStyle w:val="Heading2"/>
        <w:spacing w:after="80" w:before="200"/>
      </w:pPr>
      <w:r>
        <w:rPr>
          <w:rFonts w:ascii="Calibri" w:cs="Calibri" w:eastAsia="Calibri" w:hAnsi="Calibri"/>
          <w:b/>
          <w:bCs/>
          <w:color w:val="2E5597"/>
          <w:sz w:val="24"/>
          <w:szCs w:val="24"/>
        </w:rPr>
        <w:t xml:space="preserve">Task 4 – Confirm with autocorrelation [4]</w:t>
      </w:r>
    </w:p>
    <w:p>
      <w:pPr>
        <w:pBdr>
          <w:left w:val="single" w:color="2E5597" w:sz="12" w:space="4"/>
        </w:pBdr>
        <w:shd w:fill="F2F2F2" w:val="clear"/>
        <w:spacing w:after="0" w:line="240"/>
      </w:pPr>
      <w:r>
        <w:rPr>
          <w:rFonts w:ascii="Consolas" w:cs="Consolas" w:eastAsia="Consolas" w:hAnsi="Consolas"/>
          <w:sz w:val="17"/>
          <w:szCs w:val="17"/>
        </w:rPr>
        <w:t xml:space="preserve">d &lt;- resid(lm(sales ~ 1:n))</w:t>
      </w:r>
    </w:p>
    <w:p>
      <w:pPr>
        <w:pBdr>
          <w:left w:val="single" w:color="2E5597" w:sz="12" w:space="4"/>
        </w:pBdr>
        <w:shd w:fill="F2F2F2" w:val="clear"/>
        <w:spacing w:after="0" w:line="240"/>
      </w:pPr>
      <w:r>
        <w:rPr>
          <w:rFonts w:ascii="Consolas" w:cs="Consolas" w:eastAsia="Consolas" w:hAnsi="Consolas"/>
          <w:sz w:val="17"/>
          <w:szCs w:val="17"/>
        </w:rPr>
        <w:t xml:space="preserve">a &lt;- acf(d, lag.max = 4, plot = FALSE); a</w:t>
      </w:r>
    </w:p>
    <w:p>
      <w:pPr>
        <w:pBdr>
          <w:left w:val="single" w:color="2E5597" w:sz="12" w:space="4"/>
        </w:pBdr>
        <w:shd w:fill="F2F2F2" w:val="clear"/>
        <w:spacing w:after="0" w:line="240"/>
      </w:pPr>
      <w:r>
        <w:rPr>
          <w:rFonts w:ascii="Consolas" w:cs="Consolas" w:eastAsia="Consolas" w:hAnsi="Consolas"/>
          <w:sz w:val="17"/>
          <w:szCs w:val="17"/>
        </w:rPr>
        <w:t xml:space="preserve">2 / sqrt(n)            # significance bound</w:t>
      </w:r>
    </w:p>
    <w:p>
      <w:pPr>
        <w:spacing w:after="100" w:before="80"/>
        <w:jc w:val="center"/>
      </w:pPr>
      <w:r>
        <w:drawing>
          <wp:inline distT="0" distB="0" distL="0" distR="0">
            <wp:extent cx="3048000" cy="1762125"/>
            <wp:effectExtent t="0" r="0" b="0" l="0"/>
            <wp:docPr id="1" name="sp3.png" descr="sp3.png" title="s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1762125"/>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Figure 3. ACF of detrended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826"/>
      </w:tblGrid>
      <w:tr>
        <w:trPr>
          <w:tblHeader/>
        </w:trPr>
        <w:tc>
          <w:tcPr>
            <w:tcW w:type="dxa" w:w="24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Lag</w:t>
            </w:r>
          </w:p>
        </w:tc>
        <w:tc>
          <w:tcPr>
            <w:tcW w:type="dxa" w:w="16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1</w:t>
            </w:r>
          </w:p>
        </w:tc>
        <w:tc>
          <w:tcPr>
            <w:tcW w:type="dxa" w:w="16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2</w:t>
            </w:r>
          </w:p>
        </w:tc>
        <w:tc>
          <w:tcPr>
            <w:tcW w:type="dxa" w:w="16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3</w:t>
            </w:r>
          </w:p>
        </w:tc>
        <w:tc>
          <w:tcPr>
            <w:tcW w:type="dxa" w:w="1826"/>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4</w:t>
            </w:r>
          </w:p>
        </w:tc>
      </w:tr>
      <w:t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Autocorrelation</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0.01</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−0.89</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−0.02</w:t>
            </w:r>
          </w:p>
        </w:tc>
        <w:tc>
          <w:tcPr>
            <w:tcW w:type="dxa" w:w="18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0.85</w:t>
            </w:r>
          </w:p>
        </w:tc>
      </w:tr>
    </w:tbl>
    <w:p>
      <w:pPr>
        <w:spacing w:after="100" w:line="276"/>
      </w:pPr>
      <w:r>
        <w:rPr>
          <w:rFonts w:ascii="Calibri" w:cs="Calibri" w:eastAsia="Calibri" w:hAnsi="Calibri"/>
          <w:sz w:val="22"/>
          <w:szCs w:val="22"/>
        </w:rPr>
        <w:t xml:space="preserve">Bound = 2 / √44 = </w:t>
      </w:r>
      <w:r>
        <w:rPr>
          <w:rFonts w:ascii="Calibri" w:cs="Calibri" w:eastAsia="Calibri" w:hAnsi="Calibri"/>
          <w:b/>
          <w:bCs/>
          <w:sz w:val="22"/>
          <w:szCs w:val="22"/>
        </w:rPr>
        <w:t xml:space="preserve">0.30</w:t>
      </w:r>
      <w:r>
        <w:rPr>
          <w:rFonts w:ascii="Calibri" w:cs="Calibri" w:eastAsia="Calibri" w:hAnsi="Calibri"/>
          <w:sz w:val="22"/>
          <w:szCs w:val="22"/>
        </w:rPr>
        <w:t xml:space="preserve">. </w:t>
      </w:r>
      <w:r>
        <w:rPr>
          <w:rFonts w:ascii="Calibri" w:cs="Calibri" w:eastAsia="Calibri" w:hAnsi="Calibri"/>
          <w:b/>
          <w:bCs/>
          <w:sz w:val="22"/>
          <w:szCs w:val="22"/>
        </w:rPr>
        <w:t xml:space="preserve">Lag 4 = +0.85</w:t>
      </w:r>
      <w:r>
        <w:rPr>
          <w:rFonts w:ascii="Calibri" w:cs="Calibri" w:eastAsia="Calibri" w:hAnsi="Calibri"/>
          <w:sz w:val="22"/>
          <w:szCs w:val="22"/>
        </w:rPr>
        <w:t xml:space="preserve"> (far above +0.30) and </w:t>
      </w:r>
      <w:r>
        <w:rPr>
          <w:rFonts w:ascii="Calibri" w:cs="Calibri" w:eastAsia="Calibri" w:hAnsi="Calibri"/>
          <w:b/>
          <w:bCs/>
          <w:sz w:val="22"/>
          <w:szCs w:val="22"/>
        </w:rPr>
        <w:t xml:space="preserve">lag 2 = −0.89</w:t>
      </w:r>
      <w:r>
        <w:rPr>
          <w:rFonts w:ascii="Calibri" w:cs="Calibri" w:eastAsia="Calibri" w:hAnsi="Calibri"/>
          <w:sz w:val="22"/>
          <w:szCs w:val="22"/>
        </w:rPr>
        <w:t xml:space="preserve"> (far below −0.30). A strong positive autocorrelation at lag 4 means each quarter resembles the same quarter a year earlier, which is the repeating 4-quarter cycle. The strong negative autocorrelation at lag 2 means a quarter is the opposite of the one half a cycle away (peak Q2 versus trough Q4). Together they confirm real, fixed-period seasonality; lags 1 and 3 are inside the bounds.</w:t>
      </w:r>
    </w:p>
    <w:p>
      <w:pPr>
        <w:pStyle w:val="Heading2"/>
        <w:spacing w:after="80" w:before="200"/>
      </w:pPr>
      <w:r>
        <w:rPr>
          <w:rFonts w:ascii="Calibri" w:cs="Calibri" w:eastAsia="Calibri" w:hAnsi="Calibri"/>
          <w:b/>
          <w:bCs/>
          <w:color w:val="2E5597"/>
          <w:sz w:val="24"/>
          <w:szCs w:val="24"/>
        </w:rPr>
        <w:t xml:space="preserve">Task 5 – Additive or multiplicative? [6]</w:t>
      </w:r>
    </w:p>
    <w:p>
      <w:pPr>
        <w:pBdr>
          <w:left w:val="single" w:color="2E5597" w:sz="12" w:space="4"/>
        </w:pBdr>
        <w:shd w:fill="F2F2F2" w:val="clear"/>
        <w:spacing w:after="0" w:line="240"/>
      </w:pPr>
      <w:r>
        <w:rPr>
          <w:rFonts w:ascii="Consolas" w:cs="Consolas" w:eastAsia="Consolas" w:hAnsi="Consolas"/>
          <w:sz w:val="17"/>
          <w:szCs w:val="17"/>
        </w:rPr>
        <w:t xml:space="preserve">cyc &lt;- matrix(sales, ncol = 4, byrow = TRUE)</w:t>
      </w:r>
    </w:p>
    <w:p>
      <w:pPr>
        <w:pBdr>
          <w:left w:val="single" w:color="2E5597" w:sz="12" w:space="4"/>
        </w:pBdr>
        <w:shd w:fill="F2F2F2" w:val="clear"/>
        <w:spacing w:after="0" w:line="240"/>
      </w:pPr>
      <w:r>
        <w:rPr>
          <w:rFonts w:ascii="Consolas" w:cs="Consolas" w:eastAsia="Consolas" w:hAnsi="Consolas"/>
          <w:sz w:val="17"/>
          <w:szCs w:val="17"/>
        </w:rPr>
        <w:t xml:space="preserve">range1 &lt;- diff(range(cyc[1, ])); range11 &lt;- diff(range(cyc[11, ]))</w:t>
      </w:r>
    </w:p>
    <w:p>
      <w:pPr>
        <w:pBdr>
          <w:left w:val="single" w:color="2E5597" w:sz="12" w:space="4"/>
        </w:pBdr>
        <w:shd w:fill="F2F2F2" w:val="clear"/>
        <w:spacing w:after="0" w:line="240"/>
      </w:pPr>
      <w:r>
        <w:rPr>
          <w:rFonts w:ascii="Consolas" w:cs="Consolas" w:eastAsia="Consolas" w:hAnsi="Consolas"/>
          <w:sz w:val="17"/>
          <w:szCs w:val="17"/>
        </w:rPr>
        <w:t xml:space="preserve">range1; range11; range11 / range1</w:t>
      </w:r>
    </w:p>
    <w:p>
      <w:pPr>
        <w:pBdr>
          <w:left w:val="single" w:color="2E5597" w:sz="12" w:space="4"/>
        </w:pBdr>
        <w:shd w:fill="F2F2F2" w:val="clear"/>
        <w:spacing w:after="0" w:line="240"/>
      </w:pPr>
      <w:r>
        <w:rPr>
          <w:rFonts w:ascii="Consolas" w:cs="Consolas" w:eastAsia="Consolas" w:hAnsi="Consolas"/>
          <w:sz w:val="17"/>
          <w:szCs w:val="17"/>
        </w:rPr>
        <w:t xml:space="preserve"> </w:t>
      </w:r>
    </w:p>
    <w:p>
      <w:pPr>
        <w:pBdr>
          <w:left w:val="single" w:color="2E5597" w:sz="12" w:space="4"/>
        </w:pBdr>
        <w:shd w:fill="F2F2F2" w:val="clear"/>
        <w:spacing w:after="0" w:line="240"/>
      </w:pPr>
      <w:r>
        <w:rPr>
          <w:rFonts w:ascii="Consolas" w:cs="Consolas" w:eastAsia="Consolas" w:hAnsi="Consolas"/>
          <w:sz w:val="17"/>
          <w:szCs w:val="17"/>
        </w:rPr>
        <w:t xml:space="preserve">dca &lt;- decompose(x, type = "additive")</w:t>
      </w:r>
    </w:p>
    <w:p>
      <w:pPr>
        <w:pBdr>
          <w:left w:val="single" w:color="2E5597" w:sz="12" w:space="4"/>
        </w:pBdr>
        <w:shd w:fill="F2F2F2" w:val="clear"/>
        <w:spacing w:after="0" w:line="240"/>
      </w:pPr>
      <w:r>
        <w:rPr>
          <w:rFonts w:ascii="Consolas" w:cs="Consolas" w:eastAsia="Consolas" w:hAnsi="Consolas"/>
          <w:sz w:val="17"/>
          <w:szCs w:val="17"/>
        </w:rPr>
        <w:t xml:space="preserve">adjusted &lt;- x - dca$seasonal</w:t>
      </w:r>
    </w:p>
    <w:p>
      <w:pPr>
        <w:pBdr>
          <w:left w:val="single" w:color="2E5597" w:sz="12" w:space="4"/>
        </w:pBdr>
        <w:shd w:fill="F2F2F2" w:val="clear"/>
        <w:spacing w:after="0" w:line="240"/>
      </w:pPr>
      <w:r>
        <w:rPr>
          <w:rFonts w:ascii="Consolas" w:cs="Consolas" w:eastAsia="Consolas" w:hAnsi="Consolas"/>
          <w:sz w:val="17"/>
          <w:szCs w:val="17"/>
        </w:rPr>
        <w:t xml:space="preserve">coef(lm(as.numeric(adjusted) ~ 1:n))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Quantity</w:t>
            </w:r>
          </w:p>
        </w:tc>
        <w:tc>
          <w:tcPr>
            <w:tcW w:type="dxa" w:w="3026"/>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Value</w:t>
            </w:r>
          </w:p>
        </w:tc>
      </w:tr>
      <w:tr>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Range, first cycle (2013): 123.9, 144.9, 123.8, 104.5</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144.9 − 104.5 = 40.4</w:t>
            </w:r>
          </w:p>
        </w:tc>
      </w:tr>
      <w:tr>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Range, last cycle (2023): 173.0, 190.2, 179.1, 154.4</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190.2 − 154.4 = 35.8</w:t>
            </w:r>
          </w:p>
        </w:tc>
      </w:tr>
      <w:tr>
        <w:tc>
          <w:tcPr>
            <w:tcW w:type="dxa" w:w="6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Ratio (last / first)</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35.8 / 40.4 = 0.89</w:t>
            </w:r>
          </w:p>
        </w:tc>
      </w:tr>
    </w:tbl>
    <w:p>
      <w:pPr>
        <w:spacing w:after="100" w:line="276"/>
      </w:pPr>
      <w:r>
        <w:rPr>
          <w:rFonts w:ascii="Calibri" w:cs="Calibri" w:eastAsia="Calibri" w:hAnsi="Calibri"/>
          <w:b/>
          <w:bCs/>
          <w:sz w:val="22"/>
          <w:szCs w:val="22"/>
        </w:rPr>
        <w:t xml:space="preserve">Type: additive.</w:t>
      </w:r>
      <w:r>
        <w:rPr>
          <w:rFonts w:ascii="Calibri" w:cs="Calibri" w:eastAsia="Calibri" w:hAnsi="Calibri"/>
          <w:sz w:val="22"/>
          <w:szCs w:val="22"/>
        </w:rPr>
        <w:t xml:space="preserve"> The level rose from about 124 to 174 lakh (+40 %) while the seasonal range did not grow (the ratio is 0.89, about 1, not above 1). The swings stay roughly the same size as the level rises, so the season is a constant addition, not a percentage of the level.</w:t>
      </w:r>
    </w:p>
    <w:p>
      <w:pPr>
        <w:spacing w:after="100" w:line="276"/>
      </w:pPr>
      <w:r>
        <w:rPr>
          <w:rFonts w:ascii="Calibri" w:cs="Calibri" w:eastAsia="Calibri" w:hAnsi="Calibri"/>
          <w:b/>
          <w:bCs/>
          <w:sz w:val="22"/>
          <w:szCs w:val="22"/>
        </w:rPr>
        <w:t xml:space="preserve">Seasonally adjusted slope (additive, sales − seasonal):</w:t>
      </w:r>
      <w:r>
        <w:rPr>
          <w:rFonts w:ascii="Calibri" w:cs="Calibri" w:eastAsia="Calibri" w:hAnsi="Calibri"/>
          <w:sz w:val="22"/>
          <w:szCs w:val="22"/>
        </w:rPr>
        <w:t xml:space="preserve"> lm(adjusted ~ 1:n) gives </w:t>
      </w:r>
      <w:r>
        <w:rPr>
          <w:rFonts w:ascii="Calibri" w:cs="Calibri" w:eastAsia="Calibri" w:hAnsi="Calibri"/>
          <w:b/>
          <w:bCs/>
          <w:sz w:val="22"/>
          <w:szCs w:val="22"/>
        </w:rPr>
        <w:t xml:space="preserve">1.22 lakh per quarter</w:t>
      </w:r>
      <w:r>
        <w:rPr>
          <w:rFonts w:ascii="Calibri" w:cs="Calibri" w:eastAsia="Calibri" w:hAnsi="Calibri"/>
          <w:sz w:val="22"/>
          <w:szCs w:val="22"/>
        </w:rPr>
        <w:t xml:space="preserve">. This is close to the true underlying trend of 1.222 and slightly different from the unadjusted 1.15, since removing the seasonal pattern leaves a cleaner trend estimate.</w:t>
      </w:r>
    </w:p>
    <w:p>
      <w:pPr>
        <w:spacing w:after="100" w:line="276"/>
      </w:pPr>
      <w:r>
        <w:rPr>
          <w:rFonts w:ascii="Calibri" w:cs="Calibri" w:eastAsia="Calibri" w:hAnsi="Calibri"/>
          <w:b/>
          <w:bCs/>
          <w:sz w:val="22"/>
          <w:szCs w:val="22"/>
        </w:rPr>
        <w:t xml:space="preserve">Advice to management:</w:t>
      </w:r>
      <w:r>
        <w:rPr>
          <w:rFonts w:ascii="Calibri" w:cs="Calibri" w:eastAsia="Calibri" w:hAnsi="Calibri"/>
          <w:sz w:val="22"/>
          <w:szCs w:val="22"/>
        </w:rPr>
        <w:t xml:space="preserve"> Plan stock and staffing for a regular Q2 peak (about 22 lakh above the yearly average) and a Q4 low (about 22 lakh below), and treat the steady growth of about 1.2 lakh per quarter as a separate trend, so that a Q4 dip is not mistaken for decline nor a Q2 rise for extra growth.</w:t>
      </w:r>
    </w:p>
    <w:p>
      <w:pPr>
        <w:spacing w:after="100" w:line="276"/>
      </w:pPr>
      <w:r>
        <w:rPr>
          <w:rFonts w:ascii="Calibri" w:cs="Calibri" w:eastAsia="Calibri" w:hAnsi="Calibri"/>
          <w:sz w:val="22"/>
          <w:szCs w:val="22"/>
        </w:rPr>
        <w:t xml:space="preserve">Possible bias: n = 44 gives only 11 cycles, and a linear trend line is assumed; a changing trend would affect the decomposition.</w:t>
      </w:r>
    </w:p>
    <w:p>
      <w:pPr>
        <w:spacing w:before="240"/>
      </w:pPr>
      <w:r>
        <w:rPr>
          <w:rFonts w:ascii="Calibri" w:cs="Calibri" w:eastAsia="Calibri" w:hAnsi="Calibri"/>
          <w:b/>
          <w:bCs/>
          <w:sz w:val="22"/>
          <w:szCs w:val="22"/>
        </w:rPr>
        <w:t xml:space="preserve">Code of Conduct: </w:t>
      </w:r>
      <w:r>
        <w:rPr>
          <w:rFonts w:ascii="Calibri" w:cs="Calibri" w:eastAsia="Calibri" w:hAnsi="Calibri"/>
          <w:sz w:val="22"/>
          <w:szCs w:val="22"/>
        </w:rPr>
        <w:t xml:space="preserve">I certify that this work is my own.</w:t>
      </w:r>
    </w:p>
    <w:p>
      <w:pPr>
        <w:spacing w:before="200"/>
      </w:pPr>
      <w:r>
        <w:rPr>
          <w:rFonts w:ascii="Calibri" w:cs="Calibri" w:eastAsia="Calibri" w:hAnsi="Calibri"/>
          <w:sz w:val="22"/>
          <w:szCs w:val="22"/>
        </w:rPr>
        <w:t xml:space="preserve">Signature: ____________________</w:t>
      </w:r>
    </w:p>
    <w:sectPr>
      <w:footerReference w:type="default" r:id="rId7"/>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DSA06 Seasonality | Bharani Dharan S | Reg. No. 192424141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e9530215c9e21d92da79519edd377492d6158f4.png"/><Relationship Id="rId9" Type="http://schemas.openxmlformats.org/officeDocument/2006/relationships/image" Target="media/c3521d5566088af3527d5e3fc7a46bcffcaba2fd.png"/><Relationship Id="rId10" Type="http://schemas.openxmlformats.org/officeDocument/2006/relationships/image" Target="media/679c057240651e3c7fb6a888452db45a3e5b820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2026-10-22T03:06:31.658Z</dcterms:created>
  <dcterms:modified xsi:type="dcterms:W3CDTF">2026-10-22T03:06:31.658Z</dcterms:modified>
</cp:coreProperties>
</file>

<file path=docProps/custom.xml><?xml version="1.0" encoding="utf-8"?>
<Properties xmlns="http://schemas.openxmlformats.org/officeDocument/2006/custom-properties" xmlns:vt="http://schemas.openxmlformats.org/officeDocument/2006/docPropsVTypes"/>
</file>