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40AF"/>
          <w:sz w:val="44"/>
        </w:rPr>
        <w:t>AgriShield Analytics – Day 2 Report</w:t>
      </w:r>
    </w:p>
    <w:p>
      <w:pPr>
        <w:pStyle w:val="Heading1"/>
      </w:pPr>
      <w:r>
        <w:t>Day 2 – AgriShield Analytics</w:t>
      </w:r>
    </w:p>
    <w:p>
      <w:r>
        <w:t>Generated: June 30, 2026</w:t>
      </w:r>
    </w:p>
    <w:p>
      <w:r>
        <w:t>Domain: Agriculture &amp; AgriTech | Technology: Power BI, Python, Excel, DAX</w:t>
      </w:r>
    </w:p>
    <w:p/>
    <w:p>
      <w:pPr>
        <w:pStyle w:val="Heading2"/>
      </w:pPr>
      <w:r>
        <w:rPr>
          <w:color w:val="0F8272"/>
        </w:rPr>
        <w:t>1. Executive Summary</w:t>
      </w:r>
    </w:p>
    <w:p>
      <w:r>
        <w:t>This report presents the Exploratory Data Analysis (EDA) performed on the cleaned AgriShield dataset. Key statistical patterns, correlations, outliers, and distribution characteristics are analyzed across 11 numeric features. Nine professional visualizations were generated.</w:t>
      </w:r>
    </w:p>
    <w:p/>
    <w:p>
      <w:pPr>
        <w:pStyle w:val="Heading2"/>
      </w:pPr>
      <w:r>
        <w:rPr>
          <w:color w:val="0F8272"/>
        </w:rPr>
        <w:t>2. Descriptive Statistics Summary</w:t>
      </w:r>
    </w:p>
    <w:p>
      <w:pPr>
        <w:pStyle w:val="ListBullet"/>
      </w:pPr>
      <w:r>
        <w:rPr>
          <w:b/>
        </w:rPr>
        <w:t xml:space="preserve">Crop Yield: </w:t>
      </w:r>
      <w:r>
        <w:t>Mean=4.999, Median=5.105, Std=2.082</w:t>
      </w:r>
    </w:p>
    <w:p>
      <w:pPr>
        <w:pStyle w:val="ListBullet"/>
      </w:pPr>
      <w:r>
        <w:rPr>
          <w:b/>
        </w:rPr>
        <w:t xml:space="preserve">Health Score: </w:t>
      </w:r>
      <w:r>
        <w:t>Mean=63.992, Min=30.0, Max=100.0</w:t>
      </w:r>
    </w:p>
    <w:p>
      <w:pPr>
        <w:pStyle w:val="ListBullet"/>
      </w:pPr>
      <w:r>
        <w:rPr>
          <w:b/>
        </w:rPr>
        <w:t xml:space="preserve">NDVI Index: </w:t>
      </w:r>
      <w:r>
        <w:t>Mean=0.496, Range=[0.102, 0.899]</w:t>
      </w:r>
    </w:p>
    <w:p>
      <w:pPr>
        <w:pStyle w:val="ListBullet"/>
      </w:pPr>
      <w:r>
        <w:rPr>
          <w:b/>
        </w:rPr>
        <w:t xml:space="preserve">Temperature (°C): </w:t>
      </w:r>
      <w:r>
        <w:t>Mean=28.394, Std=7.864</w:t>
      </w:r>
    </w:p>
    <w:p/>
    <w:p>
      <w:pPr>
        <w:pStyle w:val="Heading2"/>
      </w:pPr>
      <w:r>
        <w:rPr>
          <w:color w:val="0F8272"/>
        </w:rPr>
        <w:t>3. Outlier Detection (IQR Method)</w:t>
      </w:r>
    </w:p>
    <w:p>
      <w:pPr>
        <w:pStyle w:val="ListBullet"/>
      </w:pPr>
      <w:r>
        <w:t>IQR method applied to all 11 numeric columns</w:t>
      </w:r>
    </w:p>
    <w:p>
      <w:pPr>
        <w:pStyle w:val="ListBullet"/>
      </w:pPr>
      <w:r>
        <w:t>Lower fence = Q1 – 1.5 × IQR; Upper fence = Q3 + 1.5 × IQR</w:t>
      </w:r>
    </w:p>
    <w:p>
      <w:pPr>
        <w:pStyle w:val="ListBullet"/>
      </w:pPr>
      <w:r>
        <w:t>Outliers flagged but retained for visualization</w:t>
      </w:r>
    </w:p>
    <w:p>
      <w:pPr>
        <w:pStyle w:val="ListBullet"/>
      </w:pPr>
      <w:r>
        <w:t>Extreme outliers (crop_yield &gt; 99th percentile) were removed in ETL</w:t>
      </w:r>
    </w:p>
    <w:p/>
    <w:p>
      <w:pPr>
        <w:pStyle w:val="Heading2"/>
      </w:pPr>
      <w:r>
        <w:rPr>
          <w:color w:val="0F8272"/>
        </w:rPr>
        <w:t>4. Missing Value Analysis</w:t>
      </w:r>
    </w:p>
    <w:p>
      <w:pPr>
        <w:pStyle w:val="ListBullet"/>
      </w:pPr>
      <w:r>
        <w:t>After ETL pipeline: 0 missing values in any column</w:t>
      </w:r>
    </w:p>
    <w:p>
      <w:pPr>
        <w:pStyle w:val="ListBullet"/>
      </w:pPr>
      <w:r>
        <w:t>Missing numerics were imputed using column median</w:t>
      </w:r>
    </w:p>
    <w:p>
      <w:pPr>
        <w:pStyle w:val="ListBullet"/>
      </w:pPr>
      <w:r>
        <w:t>Missing categoricals were imputed using column mode</w:t>
      </w:r>
    </w:p>
    <w:p>
      <w:pPr>
        <w:pStyle w:val="ListBullet"/>
      </w:pPr>
      <w:r>
        <w:t>Missing value heatmap confirms 100% completeness</w:t>
      </w:r>
    </w:p>
    <w:p/>
    <w:p>
      <w:pPr>
        <w:pStyle w:val="Heading2"/>
      </w:pPr>
      <w:r>
        <w:rPr>
          <w:color w:val="0F8272"/>
        </w:rPr>
        <w:t>5. Key Correlations Found</w:t>
      </w:r>
    </w:p>
    <w:p>
      <w:pPr>
        <w:pStyle w:val="ListBullet"/>
      </w:pPr>
      <w:r>
        <w:rPr>
          <w:b/>
        </w:rPr>
        <w:t xml:space="preserve">NDVI vs Health Score: </w:t>
      </w:r>
      <w:r>
        <w:t>Strong positive correlation (≈ 0.65)</w:t>
      </w:r>
    </w:p>
    <w:p>
      <w:pPr>
        <w:pStyle w:val="ListBullet"/>
      </w:pPr>
      <w:r>
        <w:rPr>
          <w:b/>
        </w:rPr>
        <w:t xml:space="preserve">Temperature vs Yield: </w:t>
      </w:r>
      <w:r>
        <w:t>Moderate negative correlation in extreme heat</w:t>
      </w:r>
    </w:p>
    <w:p>
      <w:pPr>
        <w:pStyle w:val="ListBullet"/>
      </w:pPr>
      <w:r>
        <w:rPr>
          <w:b/>
        </w:rPr>
        <w:t xml:space="preserve">Fertilizer vs Yield: </w:t>
      </w:r>
      <w:r>
        <w:t>Moderate positive correlation</w:t>
      </w:r>
    </w:p>
    <w:p>
      <w:pPr>
        <w:pStyle w:val="ListBullet"/>
      </w:pPr>
      <w:r>
        <w:rPr>
          <w:b/>
        </w:rPr>
        <w:t xml:space="preserve">Humidity vs Rainfall: </w:t>
      </w:r>
      <w:r>
        <w:t>High positive correlation (≈ 0.72)</w:t>
      </w:r>
    </w:p>
    <w:p>
      <w:pPr>
        <w:pStyle w:val="ListBullet"/>
      </w:pPr>
      <w:r>
        <w:rPr>
          <w:b/>
        </w:rPr>
        <w:t xml:space="preserve">Combined Risk vs Health: </w:t>
      </w:r>
      <w:r>
        <w:t>Negative correlation – higher risk = lower health</w:t>
      </w:r>
    </w:p>
    <w:p/>
    <w:p>
      <w:pPr>
        <w:pStyle w:val="Heading2"/>
      </w:pPr>
      <w:r>
        <w:rPr>
          <w:color w:val="0F8272"/>
        </w:rPr>
        <w:t>6. Visualizations Generated</w:t>
      </w:r>
    </w:p>
    <w:p>
      <w:pPr>
        <w:pStyle w:val="ListBullet"/>
      </w:pPr>
      <w:r>
        <w:t>EDA_01_Histogram.png – Distribution of all 11 numeric features</w:t>
      </w:r>
    </w:p>
    <w:p>
      <w:pPr>
        <w:pStyle w:val="ListBullet"/>
      </w:pPr>
      <w:r>
        <w:t>EDA_02_BoxPlot.png – Outlier detection across variables</w:t>
      </w:r>
    </w:p>
    <w:p>
      <w:pPr>
        <w:pStyle w:val="ListBullet"/>
      </w:pPr>
      <w:r>
        <w:t>EDA_03_ScatterPlot.png – NDVI vs Crop Yield (colored by Health Score)</w:t>
      </w:r>
    </w:p>
    <w:p>
      <w:pPr>
        <w:pStyle w:val="ListBullet"/>
      </w:pPr>
      <w:r>
        <w:t>EDA_04_Heatmap.png – Pearson correlation matrix</w:t>
      </w:r>
    </w:p>
    <w:p>
      <w:pPr>
        <w:pStyle w:val="ListBullet"/>
      </w:pPr>
      <w:r>
        <w:t>EDA_05_BarChart.png – Average crop yield by crop type</w:t>
      </w:r>
    </w:p>
    <w:p>
      <w:pPr>
        <w:pStyle w:val="ListBullet"/>
      </w:pPr>
      <w:r>
        <w:t>EDA_06_PieChart.png – Pest severity distribution</w:t>
      </w:r>
    </w:p>
    <w:p>
      <w:pPr>
        <w:pStyle w:val="ListBullet"/>
      </w:pPr>
      <w:r>
        <w:t>EDA_07_TreeMap.png – Total yield by location</w:t>
      </w:r>
    </w:p>
    <w:p>
      <w:pPr>
        <w:pStyle w:val="ListBullet"/>
      </w:pPr>
      <w:r>
        <w:t>EDA_08_LineChart.png – Monthly crop yield trend (2023-2024)</w:t>
      </w:r>
    </w:p>
    <w:p>
      <w:pPr>
        <w:pStyle w:val="ListBullet"/>
      </w:pPr>
      <w:r>
        <w:t>EDA_09_WaterfallChart.png – Quarterly revenue waterfall</w:t>
      </w:r>
    </w:p>
    <w:p>
      <w:pPr>
        <w:pStyle w:val="ListBullet"/>
      </w:pPr>
      <w:r>
        <w:t>EDA_Dashboard.png – Combined multi-visual dashboard</w:t>
      </w:r>
    </w:p>
    <w:p/>
    <w:p>
      <w:pPr>
        <w:pStyle w:val="Heading2"/>
      </w:pPr>
      <w:r>
        <w:rPr>
          <w:color w:val="0F8272"/>
        </w:rPr>
        <w:t>7. Key Insights</w:t>
      </w:r>
    </w:p>
    <w:p>
      <w:pPr>
        <w:pStyle w:val="ListBullet"/>
      </w:pPr>
      <w:r>
        <w:t>Wheat and Rice show the highest average yields</w:t>
      </w:r>
    </w:p>
    <w:p>
      <w:pPr>
        <w:pStyle w:val="ListBullet"/>
      </w:pPr>
      <w:r>
        <w:t>Punjab and Haryana contribute the most to total yield</w:t>
      </w:r>
    </w:p>
    <w:p>
      <w:pPr>
        <w:pStyle w:val="ListBullet"/>
      </w:pPr>
      <w:r>
        <w:t>High NDVI (&gt; 0.6) strongly correlates with Excellent health scores</w:t>
      </w:r>
    </w:p>
    <w:p>
      <w:pPr>
        <w:pStyle w:val="ListBullet"/>
      </w:pPr>
      <w:r>
        <w:t>Q3 and Q4 show the highest revenue periods</w:t>
      </w:r>
    </w:p>
    <w:p>
      <w:pPr>
        <w:pStyle w:val="ListBullet"/>
      </w:pPr>
      <w:r>
        <w:t>Aphids and Bollworm are the most prevalent pests</w:t>
      </w:r>
    </w:p>
    <w:p>
      <w:pPr>
        <w:pStyle w:val="ListBullet"/>
      </w:pPr>
      <w:r>
        <w:t>Critical disease records account for ~8% of total records</w:t>
      </w:r>
    </w:p>
    <w:p/>
    <w:p>
      <w:pPr>
        <w:jc w:val="center"/>
      </w:pPr>
      <w:r>
        <w:drawing>
          <wp:inline xmlns:a="http://schemas.openxmlformats.org/drawingml/2006/main" xmlns:pic="http://schemas.openxmlformats.org/drawingml/2006/picture">
            <wp:extent cx="5029200" cy="3510916"/>
            <wp:docPr id="1" name="Picture 1"/>
            <wp:cNvGraphicFramePr>
              <a:graphicFrameLocks noChangeAspect="1"/>
            </wp:cNvGraphicFramePr>
            <a:graphic>
              <a:graphicData uri="http://schemas.openxmlformats.org/drawingml/2006/picture">
                <pic:pic>
                  <pic:nvPicPr>
                    <pic:cNvPr id="0" name="EDA_Dashboard.png"/>
                    <pic:cNvPicPr/>
                  </pic:nvPicPr>
                  <pic:blipFill>
                    <a:blip r:embed="rId9"/>
                    <a:stretch>
                      <a:fillRect/>
                    </a:stretch>
                  </pic:blipFill>
                  <pic:spPr>
                    <a:xfrm>
                      <a:off x="0" y="0"/>
                      <a:ext cx="5029200" cy="3510916"/>
                    </a:xfrm>
                    <a:prstGeom prst="rect"/>
                  </pic:spPr>
                </pic:pic>
              </a:graphicData>
            </a:graphic>
          </wp:inline>
        </w:drawing>
      </w:r>
    </w:p>
    <w:p>
      <w:pPr>
        <w:jc w:val="center"/>
      </w:pPr>
      <w:r>
        <w:drawing>
          <wp:inline xmlns:a="http://schemas.openxmlformats.org/drawingml/2006/main" xmlns:pic="http://schemas.openxmlformats.org/drawingml/2006/picture">
            <wp:extent cx="5029200" cy="4129736"/>
            <wp:docPr id="2" name="Picture 2"/>
            <wp:cNvGraphicFramePr>
              <a:graphicFrameLocks noChangeAspect="1"/>
            </wp:cNvGraphicFramePr>
            <a:graphic>
              <a:graphicData uri="http://schemas.openxmlformats.org/drawingml/2006/picture">
                <pic:pic>
                  <pic:nvPicPr>
                    <pic:cNvPr id="0" name="EDA_04_Heatmap.png"/>
                    <pic:cNvPicPr/>
                  </pic:nvPicPr>
                  <pic:blipFill>
                    <a:blip r:embed="rId10"/>
                    <a:stretch>
                      <a:fillRect/>
                    </a:stretch>
                  </pic:blipFill>
                  <pic:spPr>
                    <a:xfrm>
                      <a:off x="0" y="0"/>
                      <a:ext cx="5029200" cy="4129736"/>
                    </a:xfrm>
                    <a:prstGeom prst="rect"/>
                  </pic:spPr>
                </pic:pic>
              </a:graphicData>
            </a:graphic>
          </wp:inline>
        </w:drawing>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