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E40AF"/>
          <w:sz w:val="44"/>
        </w:rPr>
        <w:t>AgriShield Analytics – Day 3 Report</w:t>
      </w:r>
    </w:p>
    <w:p>
      <w:pPr>
        <w:pStyle w:val="Heading1"/>
      </w:pPr>
      <w:r>
        <w:t>Day 3 – AgriShield Analytics</w:t>
      </w:r>
    </w:p>
    <w:p>
      <w:r>
        <w:t>Generated: June 30, 2026</w:t>
      </w:r>
    </w:p>
    <w:p>
      <w:r>
        <w:t>Domain: Agriculture &amp; AgriTech | Technology: Power BI, Python, Excel, DAX</w:t>
      </w:r>
    </w:p>
    <w:p/>
    <w:p>
      <w:pPr>
        <w:pStyle w:val="Heading2"/>
      </w:pPr>
      <w:r>
        <w:rPr>
          <w:color w:val="0F8272"/>
        </w:rPr>
        <w:t>1. Executive Summary</w:t>
      </w:r>
    </w:p>
    <w:p>
      <w:r>
        <w:t>This report covers Farmer RFM Segmentation for AgriShield Analytics. The traditional Customer RFM model is adapted for agriculture: Recency = days since last crop monitoring, Frequency = number of health records, Monetary = total crop yield. 50 farmers are segmented into 5 actionable categories.</w:t>
      </w:r>
    </w:p>
    <w:p/>
    <w:p>
      <w:pPr>
        <w:pStyle w:val="Heading2"/>
      </w:pPr>
      <w:r>
        <w:rPr>
          <w:color w:val="0F8272"/>
        </w:rPr>
        <w:t>2. RFM Methodology</w:t>
      </w:r>
    </w:p>
    <w:p>
      <w:pPr>
        <w:pStyle w:val="ListBullet"/>
      </w:pPr>
      <w:r>
        <w:rPr>
          <w:b/>
        </w:rPr>
        <w:t xml:space="preserve">Recency (R): </w:t>
      </w:r>
      <w:r>
        <w:t>Days elapsed since last monitoring date. Scored 1-5: Score 5 = most recent</w:t>
      </w:r>
    </w:p>
    <w:p>
      <w:pPr>
        <w:pStyle w:val="ListBullet"/>
      </w:pPr>
      <w:r>
        <w:rPr>
          <w:b/>
        </w:rPr>
        <w:t xml:space="preserve">Frequency (F): </w:t>
      </w:r>
      <w:r>
        <w:t>Total number of crop health records submitted. Score 5 = highest activity</w:t>
      </w:r>
    </w:p>
    <w:p>
      <w:pPr>
        <w:pStyle w:val="ListBullet"/>
      </w:pPr>
      <w:r>
        <w:rPr>
          <w:b/>
        </w:rPr>
        <w:t xml:space="preserve">Monetary (M): </w:t>
      </w:r>
      <w:r>
        <w:t>Total crop yield in tons across all records. Score 5 = highest producer</w:t>
      </w:r>
    </w:p>
    <w:p>
      <w:pPr>
        <w:pStyle w:val="ListBullet"/>
      </w:pPr>
      <w:r>
        <w:rPr>
          <w:b/>
        </w:rPr>
        <w:t xml:space="preserve">RFM Score: </w:t>
      </w:r>
      <w:r>
        <w:t>Composite: R×100 + F×10 + M (e.g., 555 = Champion)</w:t>
      </w:r>
    </w:p>
    <w:p>
      <w:pPr>
        <w:pStyle w:val="ListBullet"/>
      </w:pPr>
      <w:r>
        <w:rPr>
          <w:b/>
        </w:rPr>
        <w:t xml:space="preserve">Snapshot Date: </w:t>
      </w:r>
      <w:r>
        <w:t>Day after last monitoring date in dataset</w:t>
      </w:r>
    </w:p>
    <w:p/>
    <w:p>
      <w:pPr>
        <w:pStyle w:val="Heading2"/>
      </w:pPr>
      <w:r>
        <w:rPr>
          <w:color w:val="0F8272"/>
        </w:rPr>
        <w:t>3. Segmentation Rules</w:t>
      </w:r>
    </w:p>
    <w:p>
      <w:pPr>
        <w:pStyle w:val="ListBullet"/>
      </w:pPr>
      <w:r>
        <w:rPr>
          <w:b/>
        </w:rPr>
        <w:t xml:space="preserve">Champions: </w:t>
      </w:r>
      <w:r>
        <w:t>R≥4, F≥4, M≥4 – Most active, highest yield, recent monitors</w:t>
      </w:r>
    </w:p>
    <w:p>
      <w:pPr>
        <w:pStyle w:val="ListBullet"/>
      </w:pPr>
      <w:r>
        <w:rPr>
          <w:b/>
        </w:rPr>
        <w:t xml:space="preserve">Loyal Farmers: </w:t>
      </w:r>
      <w:r>
        <w:t>R≥3, F≥3 – Consistent monitoring and production</w:t>
      </w:r>
    </w:p>
    <w:p>
      <w:pPr>
        <w:pStyle w:val="ListBullet"/>
      </w:pPr>
      <w:r>
        <w:rPr>
          <w:b/>
        </w:rPr>
        <w:t xml:space="preserve">Potential Farmers: </w:t>
      </w:r>
      <w:r>
        <w:t>R≥3, F&lt;3 – Recently active but lower engagement</w:t>
      </w:r>
    </w:p>
    <w:p>
      <w:pPr>
        <w:pStyle w:val="ListBullet"/>
      </w:pPr>
      <w:r>
        <w:rPr>
          <w:b/>
        </w:rPr>
        <w:t xml:space="preserve">At Risk: </w:t>
      </w:r>
      <w:r>
        <w:t>R&lt;3, F≥3 – Previously active but monitoring gap detected</w:t>
      </w:r>
    </w:p>
    <w:p>
      <w:pPr>
        <w:pStyle w:val="ListBullet"/>
      </w:pPr>
      <w:r>
        <w:rPr>
          <w:b/>
        </w:rPr>
        <w:t xml:space="preserve">Lost Farmers: </w:t>
      </w:r>
      <w:r>
        <w:t>R&lt;3, F&lt;3 – Inactive and low yield – intervention needed</w:t>
      </w:r>
    </w:p>
    <w:p/>
    <w:p>
      <w:pPr>
        <w:pStyle w:val="Heading2"/>
      </w:pPr>
      <w:r>
        <w:rPr>
          <w:color w:val="0F8272"/>
        </w:rPr>
        <w:t>4. Segment Distribution</w:t>
      </w:r>
    </w:p>
    <w:p>
      <w:pPr>
        <w:pStyle w:val="ListBullet"/>
      </w:pPr>
      <w:r>
        <w:rPr>
          <w:b/>
        </w:rPr>
        <w:t xml:space="preserve">At Risk: </w:t>
      </w:r>
      <w:r>
        <w:t>11 farmers (22.0%)</w:t>
      </w:r>
    </w:p>
    <w:p>
      <w:pPr>
        <w:pStyle w:val="ListBullet"/>
      </w:pPr>
      <w:r>
        <w:rPr>
          <w:b/>
        </w:rPr>
        <w:t xml:space="preserve">Champions: </w:t>
      </w:r>
      <w:r>
        <w:t>9 farmers (18.0%)</w:t>
      </w:r>
    </w:p>
    <w:p>
      <w:pPr>
        <w:pStyle w:val="ListBullet"/>
      </w:pPr>
      <w:r>
        <w:rPr>
          <w:b/>
        </w:rPr>
        <w:t xml:space="preserve">Lost Farmers: </w:t>
      </w:r>
      <w:r>
        <w:t>9 farmers (18.0%)</w:t>
      </w:r>
    </w:p>
    <w:p>
      <w:pPr>
        <w:pStyle w:val="ListBullet"/>
      </w:pPr>
      <w:r>
        <w:rPr>
          <w:b/>
        </w:rPr>
        <w:t xml:space="preserve">Loyal Farmers: </w:t>
      </w:r>
      <w:r>
        <w:t>10 farmers (20.0%)</w:t>
      </w:r>
    </w:p>
    <w:p>
      <w:pPr>
        <w:pStyle w:val="ListBullet"/>
      </w:pPr>
      <w:r>
        <w:rPr>
          <w:b/>
        </w:rPr>
        <w:t xml:space="preserve">Potential Farmers: </w:t>
      </w:r>
      <w:r>
        <w:t>11 farmers (22.0%)</w:t>
      </w:r>
    </w:p>
    <w:p/>
    <w:p>
      <w:pPr>
        <w:pStyle w:val="Heading2"/>
      </w:pPr>
      <w:r>
        <w:rPr>
          <w:color w:val="0F8272"/>
        </w:rPr>
        <w:t>5. RFM Recommendations</w:t>
      </w:r>
    </w:p>
    <w:p>
      <w:pPr>
        <w:pStyle w:val="ListBullet"/>
      </w:pPr>
      <w:r>
        <w:rPr>
          <w:b/>
        </w:rPr>
        <w:t xml:space="preserve">Champions: </w:t>
      </w:r>
      <w:r>
        <w:t>Reward with premium advisory services, feature as success stories</w:t>
      </w:r>
    </w:p>
    <w:p>
      <w:pPr>
        <w:pStyle w:val="ListBullet"/>
      </w:pPr>
      <w:r>
        <w:rPr>
          <w:b/>
        </w:rPr>
        <w:t xml:space="preserve">Loyal Farmers: </w:t>
      </w:r>
      <w:r>
        <w:t>Upsell advanced pest detection tools, offer loyalty discounts</w:t>
      </w:r>
    </w:p>
    <w:p>
      <w:pPr>
        <w:pStyle w:val="ListBullet"/>
      </w:pPr>
      <w:r>
        <w:rPr>
          <w:b/>
        </w:rPr>
        <w:t xml:space="preserve">Potential Farmers: </w:t>
      </w:r>
      <w:r>
        <w:t>Re-engage with targeted monitoring reminders and crop tips</w:t>
      </w:r>
    </w:p>
    <w:p>
      <w:pPr>
        <w:pStyle w:val="ListBullet"/>
      </w:pPr>
      <w:r>
        <w:rPr>
          <w:b/>
        </w:rPr>
        <w:t xml:space="preserve">At Risk: </w:t>
      </w:r>
      <w:r>
        <w:t>Urgent outreach – field visits, identify monitoring barriers</w:t>
      </w:r>
    </w:p>
    <w:p>
      <w:pPr>
        <w:pStyle w:val="ListBullet"/>
      </w:pPr>
      <w:r>
        <w:rPr>
          <w:b/>
        </w:rPr>
        <w:t xml:space="preserve">Lost Farmers: </w:t>
      </w:r>
      <w:r>
        <w:t>Win-back campaigns – subsidized monitoring, community programs</w:t>
      </w:r>
    </w:p>
    <w:p/>
    <w:p>
      <w:pPr>
        <w:pStyle w:val="Heading2"/>
      </w:pPr>
      <w:r>
        <w:rPr>
          <w:color w:val="0F8272"/>
        </w:rPr>
        <w:t>6. Visualizations Generated</w:t>
      </w:r>
    </w:p>
    <w:p>
      <w:pPr>
        <w:pStyle w:val="ListBullet"/>
      </w:pPr>
      <w:r>
        <w:t>RFM_01_BarChart.png – Segment count bar chart</w:t>
      </w:r>
    </w:p>
    <w:p>
      <w:pPr>
        <w:pStyle w:val="ListBullet"/>
      </w:pPr>
      <w:r>
        <w:t>RFM_02_DonutChart.png – Segment share donut chart</w:t>
      </w:r>
    </w:p>
    <w:p>
      <w:pPr>
        <w:pStyle w:val="ListBullet"/>
      </w:pPr>
      <w:r>
        <w:t>RFM_03_Scatter.png – Recency vs Frequency scatter by segment</w:t>
      </w:r>
    </w:p>
    <w:p>
      <w:pPr>
        <w:pStyle w:val="ListBullet"/>
      </w:pPr>
      <w:r>
        <w:t>RFM_Dashboard.png – Full interactive-style RFM dashboard with KPI cards</w:t>
      </w:r>
    </w:p>
    <w:p/>
    <w:p>
      <w:pPr>
        <w:pStyle w:val="Heading2"/>
      </w:pPr>
      <w:r>
        <w:rPr>
          <w:color w:val="0F8272"/>
        </w:rPr>
        <w:t>7. Business Impact</w:t>
      </w:r>
    </w:p>
    <w:p>
      <w:pPr>
        <w:pStyle w:val="ListBullet"/>
      </w:pPr>
      <w:r>
        <w:t>Enables targeted intervention for At Risk and Lost Farmers</w:t>
      </w:r>
    </w:p>
    <w:p>
      <w:pPr>
        <w:pStyle w:val="ListBullet"/>
      </w:pPr>
      <w:r>
        <w:t>Champions can be used as model farmers for training programs</w:t>
      </w:r>
    </w:p>
    <w:p>
      <w:pPr>
        <w:pStyle w:val="ListBullet"/>
      </w:pPr>
      <w:r>
        <w:t>RFM scoring enables dynamic budget allocation for outreach</w:t>
      </w:r>
    </w:p>
    <w:p>
      <w:pPr>
        <w:pStyle w:val="ListBullet"/>
      </w:pPr>
      <w:r>
        <w:t>Dashboard enables NGOs and government to prioritize field visits</w:t>
      </w:r>
    </w:p>
    <w:p>
      <w:pPr>
        <w:pStyle w:val="ListBullet"/>
      </w:pPr>
      <w:r>
        <w:t>Monitoring frequency improvement target: 20% in 6 months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792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FM_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79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98290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FM_02_Donut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98290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