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D135F" w14:textId="77777777" w:rsidR="006733F6" w:rsidRDefault="006733F6" w:rsidP="00BA4555">
      <w:pPr>
        <w:spacing w:after="0"/>
        <w:rPr>
          <w:b/>
          <w:bCs/>
        </w:rPr>
      </w:pPr>
      <w:r w:rsidRPr="006733F6">
        <w:rPr>
          <w:b/>
          <w:bCs/>
        </w:rPr>
        <w:t>Time Series Forecasting Case Study: Accuracy and Applications of ARMA, LSTM, and GRU Models</w:t>
      </w:r>
    </w:p>
    <w:p w14:paraId="523CAB5B" w14:textId="72FD7F6A" w:rsidR="006733F6" w:rsidRDefault="006733F6" w:rsidP="006733F6">
      <w:pPr>
        <w:spacing w:after="0"/>
        <w:jc w:val="center"/>
      </w:pPr>
      <w:r>
        <w:rPr>
          <w:b/>
          <w:bCs/>
        </w:rPr>
        <w:t xml:space="preserve">Student Id: </w:t>
      </w:r>
      <w:r>
        <w:t>22076992</w:t>
      </w:r>
    </w:p>
    <w:p w14:paraId="6B605281" w14:textId="34926162" w:rsidR="006733F6" w:rsidRPr="006733F6" w:rsidRDefault="006733F6" w:rsidP="006733F6">
      <w:pPr>
        <w:spacing w:after="0"/>
        <w:jc w:val="center"/>
      </w:pPr>
      <w:r>
        <w:rPr>
          <w:b/>
          <w:bCs/>
        </w:rPr>
        <w:t xml:space="preserve">Name: </w:t>
      </w:r>
      <w:r w:rsidRPr="006733F6">
        <w:t>Bharanidharan Thirumaran</w:t>
      </w:r>
    </w:p>
    <w:p w14:paraId="1065FBEC" w14:textId="2AA8B5A4" w:rsidR="00B4684D" w:rsidRPr="00B4684D" w:rsidRDefault="00B4684D" w:rsidP="00BA4555">
      <w:pPr>
        <w:spacing w:after="0"/>
        <w:rPr>
          <w:b/>
          <w:bCs/>
        </w:rPr>
      </w:pPr>
      <w:r w:rsidRPr="00B4684D">
        <w:rPr>
          <w:b/>
          <w:bCs/>
        </w:rPr>
        <w:t>Introduction</w:t>
      </w:r>
      <w:r>
        <w:rPr>
          <w:b/>
          <w:bCs/>
        </w:rPr>
        <w:t>:</w:t>
      </w:r>
    </w:p>
    <w:p w14:paraId="337E466E" w14:textId="77777777" w:rsidR="00B4684D" w:rsidRPr="00B4684D" w:rsidRDefault="00B4684D" w:rsidP="00BA4555">
      <w:pPr>
        <w:spacing w:after="0"/>
      </w:pPr>
      <w:r w:rsidRPr="00B4684D">
        <w:t>Time series forecasting is an essential technique for understanding temporal patterns and predicting future values. This report explores forecasting for two datasets using both traditional statistical methods and modern machine learning approaches:</w:t>
      </w:r>
    </w:p>
    <w:p w14:paraId="0E60BE8F" w14:textId="77777777" w:rsidR="00B4684D" w:rsidRPr="00B4684D" w:rsidRDefault="00B4684D" w:rsidP="00BA4555">
      <w:pPr>
        <w:numPr>
          <w:ilvl w:val="0"/>
          <w:numId w:val="1"/>
        </w:numPr>
        <w:spacing w:after="0"/>
      </w:pPr>
      <w:r w:rsidRPr="00B4684D">
        <w:rPr>
          <w:b/>
          <w:bCs/>
        </w:rPr>
        <w:t>Johnson &amp; Johnson Sales Data</w:t>
      </w:r>
      <w:r w:rsidRPr="00B4684D">
        <w:t>: Quarterly sales data that demonstrates clear seasonality and trends, requiring accurate future sales predictions for business planning.</w:t>
      </w:r>
    </w:p>
    <w:p w14:paraId="307B2A33" w14:textId="77777777" w:rsidR="00B4684D" w:rsidRPr="00B4684D" w:rsidRDefault="00B4684D" w:rsidP="00BA4555">
      <w:pPr>
        <w:numPr>
          <w:ilvl w:val="0"/>
          <w:numId w:val="1"/>
        </w:numPr>
        <w:spacing w:after="0"/>
      </w:pPr>
      <w:r w:rsidRPr="00B4684D">
        <w:rPr>
          <w:b/>
          <w:bCs/>
        </w:rPr>
        <w:t>Amazon Closing Share Price Data</w:t>
      </w:r>
      <w:r w:rsidRPr="00B4684D">
        <w:t>: Daily closing stock prices with high volatility, critical for investment and financial analysis.</w:t>
      </w:r>
    </w:p>
    <w:p w14:paraId="000EAD7D" w14:textId="151DC95E" w:rsidR="00B4684D" w:rsidRDefault="00B4684D" w:rsidP="00BA4555">
      <w:pPr>
        <w:spacing w:after="0"/>
      </w:pPr>
      <w:r w:rsidRPr="00B4684D">
        <w:t>The primary goal is to compare the performance of ARMA models with neural network-based approaches (LSTM and GRU), evaluate their effectiveness and derive actionable insights. This study involves data visualization, stationarity testing, modeling, forecasting, and evaluation.</w:t>
      </w:r>
    </w:p>
    <w:p w14:paraId="5D6D6966" w14:textId="77777777" w:rsidR="00BA4555" w:rsidRPr="00B4684D" w:rsidRDefault="00BA4555" w:rsidP="00BA4555">
      <w:pPr>
        <w:spacing w:after="0"/>
      </w:pPr>
    </w:p>
    <w:p w14:paraId="0DC89A59" w14:textId="07EDF0FD" w:rsidR="00B4684D" w:rsidRPr="00B4684D" w:rsidRDefault="00B4684D" w:rsidP="00BA4555">
      <w:pPr>
        <w:spacing w:after="0"/>
        <w:rPr>
          <w:b/>
          <w:bCs/>
        </w:rPr>
      </w:pPr>
      <w:r w:rsidRPr="00B4684D">
        <w:rPr>
          <w:b/>
          <w:bCs/>
        </w:rPr>
        <w:t>Data Exploration and Initial Plots</w:t>
      </w:r>
      <w:r>
        <w:rPr>
          <w:b/>
          <w:bCs/>
        </w:rPr>
        <w:t>:</w:t>
      </w:r>
    </w:p>
    <w:p w14:paraId="63D609E2" w14:textId="77777777" w:rsidR="00B4684D" w:rsidRPr="00B4684D" w:rsidRDefault="00B4684D" w:rsidP="00BA4555">
      <w:pPr>
        <w:spacing w:after="0"/>
      </w:pPr>
      <w:r w:rsidRPr="00B4684D">
        <w:t>The analysis begins with a thorough exploration of the datasets to identify their underlying structure.</w:t>
      </w:r>
    </w:p>
    <w:p w14:paraId="25461196" w14:textId="77777777" w:rsidR="00B4684D" w:rsidRDefault="00B4684D" w:rsidP="00BA4555">
      <w:pPr>
        <w:spacing w:after="0"/>
        <w:rPr>
          <w:b/>
          <w:bCs/>
        </w:rPr>
      </w:pPr>
      <w:r w:rsidRPr="00B4684D">
        <w:rPr>
          <w:b/>
          <w:bCs/>
        </w:rPr>
        <w:t>Visual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650"/>
      </w:tblGrid>
      <w:tr w:rsidR="00066DE1" w14:paraId="25795DE8" w14:textId="77777777" w:rsidTr="00066DE1">
        <w:trPr>
          <w:trHeight w:val="3192"/>
        </w:trPr>
        <w:tc>
          <w:tcPr>
            <w:tcW w:w="4675" w:type="dxa"/>
          </w:tcPr>
          <w:p w14:paraId="1F4E49F4" w14:textId="24099DF8" w:rsidR="00066DE1" w:rsidRDefault="00066DE1" w:rsidP="00BA4555">
            <w:pPr>
              <w:rPr>
                <w:b/>
                <w:bCs/>
              </w:rPr>
            </w:pPr>
            <w:r>
              <w:rPr>
                <w:b/>
                <w:bCs/>
                <w:noProof/>
              </w:rPr>
              <w:drawing>
                <wp:inline distT="0" distB="0" distL="0" distR="0" wp14:anchorId="1FFDEA05" wp14:editId="399BCD84">
                  <wp:extent cx="2895600" cy="2179320"/>
                  <wp:effectExtent l="0" t="0" r="0" b="0"/>
                  <wp:docPr id="19926556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55633" name="Picture 1992655633"/>
                          <pic:cNvPicPr/>
                        </pic:nvPicPr>
                        <pic:blipFill>
                          <a:blip r:embed="rId8">
                            <a:extLst>
                              <a:ext uri="{28A0092B-C50C-407E-A947-70E740481C1C}">
                                <a14:useLocalDpi xmlns:a14="http://schemas.microsoft.com/office/drawing/2010/main" val="0"/>
                              </a:ext>
                            </a:extLst>
                          </a:blip>
                          <a:stretch>
                            <a:fillRect/>
                          </a:stretch>
                        </pic:blipFill>
                        <pic:spPr>
                          <a:xfrm>
                            <a:off x="0" y="0"/>
                            <a:ext cx="2895854" cy="2179511"/>
                          </a:xfrm>
                          <a:prstGeom prst="rect">
                            <a:avLst/>
                          </a:prstGeom>
                        </pic:spPr>
                      </pic:pic>
                    </a:graphicData>
                  </a:graphic>
                </wp:inline>
              </w:drawing>
            </w:r>
          </w:p>
        </w:tc>
        <w:tc>
          <w:tcPr>
            <w:tcW w:w="4675" w:type="dxa"/>
          </w:tcPr>
          <w:p w14:paraId="1977D6D5" w14:textId="6F93908F" w:rsidR="00066DE1" w:rsidRDefault="00066DE1" w:rsidP="00BA4555">
            <w:pPr>
              <w:rPr>
                <w:b/>
                <w:bCs/>
              </w:rPr>
            </w:pPr>
            <w:r>
              <w:rPr>
                <w:b/>
                <w:bCs/>
                <w:noProof/>
              </w:rPr>
              <w:drawing>
                <wp:inline distT="0" distB="0" distL="0" distR="0" wp14:anchorId="0B1DB34A" wp14:editId="5BC03414">
                  <wp:extent cx="2849880" cy="2186940"/>
                  <wp:effectExtent l="0" t="0" r="7620" b="3810"/>
                  <wp:docPr id="11784797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79711" name="Picture 1178479711"/>
                          <pic:cNvPicPr/>
                        </pic:nvPicPr>
                        <pic:blipFill>
                          <a:blip r:embed="rId9">
                            <a:extLst>
                              <a:ext uri="{28A0092B-C50C-407E-A947-70E740481C1C}">
                                <a14:useLocalDpi xmlns:a14="http://schemas.microsoft.com/office/drawing/2010/main" val="0"/>
                              </a:ext>
                            </a:extLst>
                          </a:blip>
                          <a:stretch>
                            <a:fillRect/>
                          </a:stretch>
                        </pic:blipFill>
                        <pic:spPr>
                          <a:xfrm>
                            <a:off x="0" y="0"/>
                            <a:ext cx="2850136" cy="2187136"/>
                          </a:xfrm>
                          <a:prstGeom prst="rect">
                            <a:avLst/>
                          </a:prstGeom>
                        </pic:spPr>
                      </pic:pic>
                    </a:graphicData>
                  </a:graphic>
                </wp:inline>
              </w:drawing>
            </w:r>
          </w:p>
        </w:tc>
      </w:tr>
    </w:tbl>
    <w:p w14:paraId="10716807" w14:textId="35EED665" w:rsidR="004A31D0" w:rsidRDefault="004A31D0" w:rsidP="00BA4555">
      <w:pPr>
        <w:spacing w:after="0"/>
        <w:jc w:val="center"/>
        <w:rPr>
          <w:b/>
          <w:bCs/>
        </w:rPr>
      </w:pPr>
      <w:r w:rsidRPr="004A31D0">
        <w:rPr>
          <w:b/>
          <w:bCs/>
        </w:rPr>
        <w:t xml:space="preserve">Figure 1: </w:t>
      </w:r>
      <w:r w:rsidRPr="00B4684D">
        <w:rPr>
          <w:b/>
          <w:bCs/>
        </w:rPr>
        <w:t>Time Series Plot for Johnson &amp; Johnson Sales Data</w:t>
      </w:r>
      <w:r w:rsidR="00066DE1">
        <w:rPr>
          <w:b/>
          <w:bCs/>
        </w:rPr>
        <w:t xml:space="preserve"> and </w:t>
      </w:r>
      <w:r w:rsidR="00066DE1" w:rsidRPr="00B4684D">
        <w:rPr>
          <w:b/>
          <w:bCs/>
        </w:rPr>
        <w:t>Amazon Share Price Data</w:t>
      </w:r>
    </w:p>
    <w:p w14:paraId="1C808F9A" w14:textId="77777777" w:rsidR="00BA4555" w:rsidRPr="00B4684D" w:rsidRDefault="00BA4555" w:rsidP="00BA4555">
      <w:pPr>
        <w:spacing w:after="0"/>
        <w:jc w:val="center"/>
        <w:rPr>
          <w:b/>
          <w:bCs/>
        </w:rPr>
      </w:pPr>
    </w:p>
    <w:p w14:paraId="369705A2" w14:textId="284E07AB" w:rsidR="004A31D0" w:rsidRDefault="00B4684D" w:rsidP="00BA4555">
      <w:pPr>
        <w:numPr>
          <w:ilvl w:val="0"/>
          <w:numId w:val="2"/>
        </w:numPr>
        <w:spacing w:after="0"/>
      </w:pPr>
      <w:r w:rsidRPr="00B4684D">
        <w:rPr>
          <w:b/>
          <w:bCs/>
        </w:rPr>
        <w:t>Time Series Plot for Johnson &amp; Johnson Sales Data</w:t>
      </w:r>
      <w:r w:rsidRPr="00B4684D">
        <w:t>: This plot reveals strong seasonal patterns and an upward trend over time.</w:t>
      </w:r>
    </w:p>
    <w:p w14:paraId="2B5F3016" w14:textId="77777777" w:rsidR="009334A0" w:rsidRDefault="00B4684D" w:rsidP="00BA4555">
      <w:pPr>
        <w:numPr>
          <w:ilvl w:val="0"/>
          <w:numId w:val="2"/>
        </w:numPr>
        <w:spacing w:after="0"/>
      </w:pPr>
      <w:r w:rsidRPr="00B4684D">
        <w:rPr>
          <w:b/>
          <w:bCs/>
        </w:rPr>
        <w:t>Time Series Plot for Amazon Share Price Data</w:t>
      </w:r>
      <w:r w:rsidRPr="00B4684D">
        <w:t>: This plot highlights significant variability and a general upward trend with notable short-term fluctuations.</w:t>
      </w:r>
    </w:p>
    <w:p w14:paraId="499AB4B6" w14:textId="1960A323" w:rsidR="00B4684D" w:rsidRDefault="00B4684D" w:rsidP="00BA4555">
      <w:pPr>
        <w:spacing w:after="0"/>
      </w:pPr>
      <w:r w:rsidRPr="00B4684D">
        <w:t>These plots establish the necessity for preprocessing and model selection tailored to the specific characteristics of each dataset.</w:t>
      </w:r>
    </w:p>
    <w:p w14:paraId="470EDA85" w14:textId="77777777" w:rsidR="00BA4555" w:rsidRPr="00B4684D" w:rsidRDefault="00BA4555" w:rsidP="00BA4555">
      <w:pPr>
        <w:spacing w:after="0"/>
      </w:pPr>
    </w:p>
    <w:p w14:paraId="3607C5A8" w14:textId="77777777" w:rsidR="00B61BC4" w:rsidRDefault="00B61BC4" w:rsidP="00BA4555">
      <w:pPr>
        <w:spacing w:after="0"/>
        <w:rPr>
          <w:b/>
          <w:bCs/>
        </w:rPr>
      </w:pPr>
    </w:p>
    <w:p w14:paraId="3C2BA8B3" w14:textId="77777777" w:rsidR="00B61BC4" w:rsidRDefault="00B61BC4" w:rsidP="00BA4555">
      <w:pPr>
        <w:spacing w:after="0"/>
        <w:rPr>
          <w:b/>
          <w:bCs/>
        </w:rPr>
      </w:pPr>
    </w:p>
    <w:p w14:paraId="3CE7F08E" w14:textId="63367B78" w:rsidR="00B4684D" w:rsidRPr="00B4684D" w:rsidRDefault="00B4684D" w:rsidP="00BA4555">
      <w:pPr>
        <w:spacing w:after="0"/>
        <w:rPr>
          <w:b/>
          <w:bCs/>
        </w:rPr>
      </w:pPr>
      <w:r w:rsidRPr="00B4684D">
        <w:rPr>
          <w:b/>
          <w:bCs/>
        </w:rPr>
        <w:t>Stationarity Tests</w:t>
      </w:r>
      <w:r w:rsidR="00BA4555">
        <w:rPr>
          <w:b/>
          <w:bCs/>
        </w:rPr>
        <w:t>:</w:t>
      </w:r>
    </w:p>
    <w:p w14:paraId="29044896" w14:textId="77777777" w:rsidR="00B4684D" w:rsidRPr="00B4684D" w:rsidRDefault="00B4684D" w:rsidP="00BA4555">
      <w:pPr>
        <w:spacing w:after="0"/>
      </w:pPr>
      <w:r w:rsidRPr="00B4684D">
        <w:t>Time series models like ARMA require stationary data. Stationarity ensures that statistical properties such as mean and variance do not change over time.</w:t>
      </w:r>
    </w:p>
    <w:p w14:paraId="24616388" w14:textId="77777777" w:rsidR="00B4684D" w:rsidRPr="00B4684D" w:rsidRDefault="00B4684D" w:rsidP="00BA4555">
      <w:pPr>
        <w:spacing w:after="0"/>
        <w:rPr>
          <w:b/>
          <w:bCs/>
        </w:rPr>
      </w:pPr>
      <w:r w:rsidRPr="00B4684D">
        <w:rPr>
          <w:b/>
          <w:bCs/>
        </w:rPr>
        <w:t>Tests Performed</w:t>
      </w:r>
    </w:p>
    <w:p w14:paraId="4734255C" w14:textId="77777777" w:rsidR="00B4684D" w:rsidRPr="00B4684D" w:rsidRDefault="00B4684D" w:rsidP="00BA4555">
      <w:pPr>
        <w:numPr>
          <w:ilvl w:val="0"/>
          <w:numId w:val="3"/>
        </w:numPr>
        <w:spacing w:after="0"/>
      </w:pPr>
      <w:r w:rsidRPr="00B4684D">
        <w:rPr>
          <w:b/>
          <w:bCs/>
        </w:rPr>
        <w:t>Augmented Dickey-Fuller (ADF) Test</w:t>
      </w:r>
      <w:r w:rsidRPr="00B4684D">
        <w:t>: Used to detect the presence of a unit root.</w:t>
      </w:r>
    </w:p>
    <w:p w14:paraId="368A02CE" w14:textId="77777777" w:rsidR="00B4684D" w:rsidRPr="00B4684D" w:rsidRDefault="00B4684D" w:rsidP="00BA4555">
      <w:pPr>
        <w:numPr>
          <w:ilvl w:val="0"/>
          <w:numId w:val="3"/>
        </w:numPr>
        <w:spacing w:after="0"/>
      </w:pPr>
      <w:r w:rsidRPr="00B4684D">
        <w:rPr>
          <w:b/>
          <w:bCs/>
        </w:rPr>
        <w:t>ACF and PACF Analysis</w:t>
      </w:r>
      <w:r w:rsidRPr="00B4684D">
        <w:t>: Helps visualize autocorrelations and determine lag structure.</w:t>
      </w:r>
    </w:p>
    <w:p w14:paraId="679A5E24" w14:textId="77777777" w:rsidR="00B4684D" w:rsidRDefault="00B4684D" w:rsidP="00BA4555">
      <w:pPr>
        <w:spacing w:after="0"/>
        <w:rPr>
          <w:b/>
          <w:bCs/>
        </w:rPr>
      </w:pPr>
      <w:r w:rsidRPr="00B4684D">
        <w:rPr>
          <w:b/>
          <w:bCs/>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98"/>
      </w:tblGrid>
      <w:tr w:rsidR="00066DE1" w14:paraId="33ABA4AC" w14:textId="77777777" w:rsidTr="00066DE1">
        <w:trPr>
          <w:trHeight w:val="3182"/>
        </w:trPr>
        <w:tc>
          <w:tcPr>
            <w:tcW w:w="4675" w:type="dxa"/>
          </w:tcPr>
          <w:p w14:paraId="64C4B020" w14:textId="6815EE3C" w:rsidR="00066DE1" w:rsidRDefault="00066DE1" w:rsidP="00BA4555">
            <w:pPr>
              <w:rPr>
                <w:b/>
                <w:bCs/>
              </w:rPr>
            </w:pPr>
            <w:r>
              <w:rPr>
                <w:b/>
                <w:bCs/>
                <w:noProof/>
              </w:rPr>
              <w:drawing>
                <wp:inline distT="0" distB="0" distL="0" distR="0" wp14:anchorId="2C61714E" wp14:editId="46BE55C1">
                  <wp:extent cx="2857500" cy="2278380"/>
                  <wp:effectExtent l="0" t="0" r="0" b="7620"/>
                  <wp:docPr id="3688484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48435" name="Picture 368848435"/>
                          <pic:cNvPicPr/>
                        </pic:nvPicPr>
                        <pic:blipFill>
                          <a:blip r:embed="rId10">
                            <a:extLst>
                              <a:ext uri="{28A0092B-C50C-407E-A947-70E740481C1C}">
                                <a14:useLocalDpi xmlns:a14="http://schemas.microsoft.com/office/drawing/2010/main" val="0"/>
                              </a:ext>
                            </a:extLst>
                          </a:blip>
                          <a:stretch>
                            <a:fillRect/>
                          </a:stretch>
                        </pic:blipFill>
                        <pic:spPr>
                          <a:xfrm>
                            <a:off x="0" y="0"/>
                            <a:ext cx="2857752" cy="2278581"/>
                          </a:xfrm>
                          <a:prstGeom prst="rect">
                            <a:avLst/>
                          </a:prstGeom>
                        </pic:spPr>
                      </pic:pic>
                    </a:graphicData>
                  </a:graphic>
                </wp:inline>
              </w:drawing>
            </w:r>
          </w:p>
        </w:tc>
        <w:tc>
          <w:tcPr>
            <w:tcW w:w="4675" w:type="dxa"/>
          </w:tcPr>
          <w:p w14:paraId="68A59756" w14:textId="5B0767D6" w:rsidR="00066DE1" w:rsidRDefault="00066DE1" w:rsidP="00BA4555">
            <w:pPr>
              <w:rPr>
                <w:b/>
                <w:bCs/>
              </w:rPr>
            </w:pPr>
            <w:r>
              <w:rPr>
                <w:b/>
                <w:bCs/>
                <w:noProof/>
              </w:rPr>
              <w:drawing>
                <wp:inline distT="0" distB="0" distL="0" distR="0" wp14:anchorId="46275E13" wp14:editId="4FD4F596">
                  <wp:extent cx="2880360" cy="2225040"/>
                  <wp:effectExtent l="0" t="0" r="0" b="3810"/>
                  <wp:docPr id="1774050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5045" name="Picture 177405045"/>
                          <pic:cNvPicPr/>
                        </pic:nvPicPr>
                        <pic:blipFill>
                          <a:blip r:embed="rId11">
                            <a:extLst>
                              <a:ext uri="{28A0092B-C50C-407E-A947-70E740481C1C}">
                                <a14:useLocalDpi xmlns:a14="http://schemas.microsoft.com/office/drawing/2010/main" val="0"/>
                              </a:ext>
                            </a:extLst>
                          </a:blip>
                          <a:stretch>
                            <a:fillRect/>
                          </a:stretch>
                        </pic:blipFill>
                        <pic:spPr>
                          <a:xfrm>
                            <a:off x="0" y="0"/>
                            <a:ext cx="2880612" cy="2225235"/>
                          </a:xfrm>
                          <a:prstGeom prst="rect">
                            <a:avLst/>
                          </a:prstGeom>
                        </pic:spPr>
                      </pic:pic>
                    </a:graphicData>
                  </a:graphic>
                </wp:inline>
              </w:drawing>
            </w:r>
          </w:p>
        </w:tc>
      </w:tr>
    </w:tbl>
    <w:p w14:paraId="4264A586" w14:textId="0B07EC99" w:rsidR="00022CF6" w:rsidRDefault="00022CF6" w:rsidP="00BA4555">
      <w:pPr>
        <w:spacing w:after="0"/>
        <w:jc w:val="center"/>
        <w:rPr>
          <w:b/>
          <w:bCs/>
        </w:rPr>
      </w:pPr>
      <w:r>
        <w:rPr>
          <w:b/>
          <w:bCs/>
        </w:rPr>
        <w:t xml:space="preserve">Figure </w:t>
      </w:r>
      <w:r w:rsidR="009334A0">
        <w:rPr>
          <w:b/>
          <w:bCs/>
        </w:rPr>
        <w:t>2</w:t>
      </w:r>
      <w:r>
        <w:rPr>
          <w:b/>
          <w:bCs/>
        </w:rPr>
        <w:t xml:space="preserve">: </w:t>
      </w:r>
      <w:r w:rsidRPr="00B4684D">
        <w:rPr>
          <w:b/>
          <w:bCs/>
        </w:rPr>
        <w:t>Johnson &amp; Johnson Sales Data</w:t>
      </w:r>
      <w:r w:rsidR="00066DE1">
        <w:rPr>
          <w:b/>
          <w:bCs/>
        </w:rPr>
        <w:t xml:space="preserve"> and </w:t>
      </w:r>
      <w:r w:rsidR="00066DE1" w:rsidRPr="00B4684D">
        <w:rPr>
          <w:b/>
          <w:bCs/>
        </w:rPr>
        <w:t>Amazon Share Price Data</w:t>
      </w:r>
    </w:p>
    <w:p w14:paraId="393DC1C1" w14:textId="77777777" w:rsidR="00BA4555" w:rsidRPr="00B4684D" w:rsidRDefault="00BA4555" w:rsidP="00BA4555">
      <w:pPr>
        <w:spacing w:after="0"/>
        <w:jc w:val="center"/>
        <w:rPr>
          <w:b/>
          <w:bCs/>
        </w:rPr>
      </w:pPr>
    </w:p>
    <w:p w14:paraId="52FCE63B" w14:textId="76AA16C7" w:rsidR="00022CF6" w:rsidRDefault="00B4684D" w:rsidP="00BA4555">
      <w:pPr>
        <w:numPr>
          <w:ilvl w:val="0"/>
          <w:numId w:val="4"/>
        </w:numPr>
        <w:spacing w:after="0"/>
      </w:pPr>
      <w:r w:rsidRPr="00B4684D">
        <w:rPr>
          <w:b/>
          <w:bCs/>
        </w:rPr>
        <w:t>Johnson &amp; Johnson Sales Data</w:t>
      </w:r>
      <w:r w:rsidRPr="00B4684D">
        <w:t>: The ADF test indicates non-stationarity due to evident trends and seasonality.</w:t>
      </w:r>
    </w:p>
    <w:p w14:paraId="1D77F9AB" w14:textId="77777777" w:rsidR="00B4684D" w:rsidRDefault="00B4684D" w:rsidP="00BA4555">
      <w:pPr>
        <w:numPr>
          <w:ilvl w:val="0"/>
          <w:numId w:val="4"/>
        </w:numPr>
        <w:spacing w:after="0"/>
      </w:pPr>
      <w:r w:rsidRPr="00B4684D">
        <w:rPr>
          <w:b/>
          <w:bCs/>
        </w:rPr>
        <w:t>Amazon Share Price Data</w:t>
      </w:r>
      <w:r w:rsidRPr="00B4684D">
        <w:t>: The ADF test confirms non-stationarity, primarily caused by the trend component.</w:t>
      </w:r>
    </w:p>
    <w:p w14:paraId="31794023" w14:textId="77777777" w:rsidR="00BA4555" w:rsidRPr="00B4684D" w:rsidRDefault="00BA4555" w:rsidP="00BA4555">
      <w:pPr>
        <w:spacing w:after="0"/>
        <w:ind w:left="720"/>
      </w:pPr>
    </w:p>
    <w:p w14:paraId="258905D5" w14:textId="77777777" w:rsidR="00B4684D" w:rsidRPr="00B4684D" w:rsidRDefault="00B4684D" w:rsidP="00BA4555">
      <w:pPr>
        <w:numPr>
          <w:ilvl w:val="0"/>
          <w:numId w:val="5"/>
        </w:numPr>
        <w:spacing w:after="0"/>
      </w:pPr>
      <w:r w:rsidRPr="00B4684D">
        <w:rPr>
          <w:b/>
          <w:bCs/>
        </w:rPr>
        <w:t>ACF and PACF Plots (Before Transformation)</w:t>
      </w:r>
      <w:r w:rsidRPr="00B4684D">
        <w:t>:</w:t>
      </w:r>
    </w:p>
    <w:p w14:paraId="14B18ECE" w14:textId="77777777" w:rsidR="00B4684D" w:rsidRPr="00B4684D" w:rsidRDefault="00B4684D" w:rsidP="00BA4555">
      <w:pPr>
        <w:numPr>
          <w:ilvl w:val="1"/>
          <w:numId w:val="5"/>
        </w:numPr>
        <w:spacing w:after="0"/>
      </w:pPr>
      <w:r w:rsidRPr="00B4684D">
        <w:t>Johnson &amp; Johnson data: Shows significant autocorrelations at multiple lags.</w:t>
      </w:r>
    </w:p>
    <w:p w14:paraId="2A3B63FC" w14:textId="78CB1190" w:rsidR="00066DE1" w:rsidRPr="00BA4555" w:rsidRDefault="00B4684D" w:rsidP="00BA4555">
      <w:pPr>
        <w:numPr>
          <w:ilvl w:val="1"/>
          <w:numId w:val="5"/>
        </w:numPr>
        <w:spacing w:after="0"/>
      </w:pPr>
      <w:r w:rsidRPr="00B4684D">
        <w:t>Amazon data: Indicates persistent lag dependencies.</w:t>
      </w:r>
    </w:p>
    <w:p w14:paraId="53F750FE" w14:textId="64EB196D" w:rsidR="00066DE1" w:rsidRDefault="00B4684D" w:rsidP="00BA4555">
      <w:pPr>
        <w:spacing w:after="0"/>
        <w:rPr>
          <w:b/>
          <w:bCs/>
        </w:rPr>
      </w:pPr>
      <w:r w:rsidRPr="00B4684D">
        <w:rPr>
          <w:b/>
          <w:bCs/>
        </w:rPr>
        <w:t>Discussion</w:t>
      </w:r>
    </w:p>
    <w:p w14:paraId="24A5E6C6" w14:textId="7933D174" w:rsidR="00B4684D" w:rsidRDefault="00B4684D" w:rsidP="00BA4555">
      <w:pPr>
        <w:spacing w:after="0"/>
      </w:pPr>
      <w:r w:rsidRPr="00B4684D">
        <w:t>Discuss the importance of achieving stationarity and how the ACF/PACF analysis informs ARMA parameter selection.</w:t>
      </w:r>
    </w:p>
    <w:p w14:paraId="381D8D84" w14:textId="77777777" w:rsidR="00FE6523" w:rsidRPr="00B4684D" w:rsidRDefault="00FE6523" w:rsidP="00BA4555">
      <w:pPr>
        <w:spacing w:after="0"/>
        <w:rPr>
          <w:b/>
          <w:bCs/>
        </w:rPr>
      </w:pPr>
    </w:p>
    <w:p w14:paraId="21D3BE66" w14:textId="567CAC61" w:rsidR="00B4684D" w:rsidRPr="00B4684D" w:rsidRDefault="00B4684D" w:rsidP="00BA4555">
      <w:pPr>
        <w:spacing w:after="0"/>
        <w:rPr>
          <w:b/>
          <w:bCs/>
        </w:rPr>
      </w:pPr>
      <w:r w:rsidRPr="00B4684D">
        <w:rPr>
          <w:b/>
          <w:bCs/>
        </w:rPr>
        <w:t>Data Transformation</w:t>
      </w:r>
      <w:r>
        <w:rPr>
          <w:b/>
          <w:bCs/>
        </w:rPr>
        <w:t>:</w:t>
      </w:r>
    </w:p>
    <w:p w14:paraId="533C1A22" w14:textId="77777777" w:rsidR="00B4684D" w:rsidRPr="00B4684D" w:rsidRDefault="00B4684D" w:rsidP="00BA4555">
      <w:pPr>
        <w:spacing w:after="0"/>
      </w:pPr>
      <w:r w:rsidRPr="00B4684D">
        <w:t>To address non-stationarity, transformations were applied:</w:t>
      </w:r>
    </w:p>
    <w:p w14:paraId="43C36457" w14:textId="77777777" w:rsidR="00B4684D" w:rsidRPr="00B4684D" w:rsidRDefault="00B4684D" w:rsidP="00BA4555">
      <w:pPr>
        <w:numPr>
          <w:ilvl w:val="0"/>
          <w:numId w:val="6"/>
        </w:numPr>
        <w:spacing w:after="0"/>
      </w:pPr>
      <w:r w:rsidRPr="00B4684D">
        <w:rPr>
          <w:b/>
          <w:bCs/>
        </w:rPr>
        <w:t>Differencing</w:t>
      </w:r>
      <w:r w:rsidRPr="00B4684D">
        <w:t>: Removed trends.</w:t>
      </w:r>
    </w:p>
    <w:p w14:paraId="39ED3D37" w14:textId="77777777" w:rsidR="00B4684D" w:rsidRPr="00B4684D" w:rsidRDefault="00B4684D" w:rsidP="00BA4555">
      <w:pPr>
        <w:numPr>
          <w:ilvl w:val="0"/>
          <w:numId w:val="6"/>
        </w:numPr>
        <w:spacing w:after="0"/>
      </w:pPr>
      <w:r w:rsidRPr="00B4684D">
        <w:rPr>
          <w:b/>
          <w:bCs/>
        </w:rPr>
        <w:lastRenderedPageBreak/>
        <w:t>Logarithmic Transformation</w:t>
      </w:r>
      <w:r w:rsidRPr="00B4684D">
        <w:t>: Stabilized variance in the Amazon data.</w:t>
      </w:r>
    </w:p>
    <w:p w14:paraId="5D523820" w14:textId="77777777" w:rsidR="00B4684D" w:rsidRPr="00B4684D" w:rsidRDefault="00B4684D" w:rsidP="00BA4555">
      <w:pPr>
        <w:numPr>
          <w:ilvl w:val="0"/>
          <w:numId w:val="6"/>
        </w:numPr>
        <w:spacing w:after="0"/>
      </w:pPr>
      <w:r w:rsidRPr="00B4684D">
        <w:rPr>
          <w:b/>
          <w:bCs/>
        </w:rPr>
        <w:t>Seasonal Decomposition</w:t>
      </w:r>
      <w:r w:rsidRPr="00B4684D">
        <w:t>: Isolated seasonal components for Johnson &amp; Johnson data.</w:t>
      </w:r>
    </w:p>
    <w:p w14:paraId="1D1EFC5F" w14:textId="4786C5D6" w:rsidR="00022CF6" w:rsidRPr="00B4684D" w:rsidRDefault="00B4684D" w:rsidP="00BA4555">
      <w:pPr>
        <w:spacing w:after="0"/>
      </w:pPr>
      <w:r w:rsidRPr="00B4684D">
        <w:t>Stationarity was re-evaluated post-transformation using the ADF test, confirming the effectiveness of these techniques.</w:t>
      </w:r>
    </w:p>
    <w:p w14:paraId="6C06D68F" w14:textId="4D8C7825" w:rsidR="00022CF6" w:rsidRPr="00B4684D" w:rsidRDefault="00B4684D" w:rsidP="00BA4555">
      <w:pPr>
        <w:numPr>
          <w:ilvl w:val="0"/>
          <w:numId w:val="7"/>
        </w:numPr>
        <w:spacing w:after="0"/>
      </w:pPr>
      <w:r w:rsidRPr="00B4684D">
        <w:rPr>
          <w:b/>
          <w:bCs/>
        </w:rPr>
        <w:t>Transformed Time Series</w:t>
      </w:r>
      <w:r w:rsidRPr="00B4684D">
        <w:t>:</w:t>
      </w:r>
    </w:p>
    <w:p w14:paraId="1AEE2158" w14:textId="77777777" w:rsidR="00B4684D" w:rsidRPr="00B4684D" w:rsidRDefault="00B4684D" w:rsidP="00BA4555">
      <w:pPr>
        <w:numPr>
          <w:ilvl w:val="1"/>
          <w:numId w:val="7"/>
        </w:numPr>
        <w:spacing w:after="0"/>
      </w:pPr>
      <w:r w:rsidRPr="00B4684D">
        <w:t>Johnson &amp; Johnson Sales Data: Plot after differencing and seasonal adjustment.</w:t>
      </w:r>
    </w:p>
    <w:p w14:paraId="3C81DE46" w14:textId="77777777" w:rsidR="00B4684D" w:rsidRDefault="00B4684D" w:rsidP="00BA4555">
      <w:pPr>
        <w:numPr>
          <w:ilvl w:val="1"/>
          <w:numId w:val="7"/>
        </w:numPr>
        <w:spacing w:after="0"/>
      </w:pPr>
      <w:r w:rsidRPr="00B4684D">
        <w:t>Amazon Share Price Data: Plot after log transformation and differencing.</w:t>
      </w:r>
    </w:p>
    <w:p w14:paraId="5E1393A1" w14:textId="77777777" w:rsidR="00FE6523" w:rsidRDefault="00FE6523" w:rsidP="00FE6523">
      <w:pPr>
        <w:spacing w:after="0"/>
        <w:ind w:left="1440"/>
      </w:pPr>
    </w:p>
    <w:p w14:paraId="2E4A14AF" w14:textId="4BE35352" w:rsidR="00B4684D" w:rsidRPr="00B4684D" w:rsidRDefault="00B4684D" w:rsidP="00BA4555">
      <w:pPr>
        <w:spacing w:after="0"/>
        <w:rPr>
          <w:b/>
          <w:bCs/>
        </w:rPr>
      </w:pPr>
      <w:r w:rsidRPr="00B4684D">
        <w:rPr>
          <w:b/>
          <w:bCs/>
        </w:rPr>
        <w:t>ARMA Modeling</w:t>
      </w:r>
      <w:r>
        <w:rPr>
          <w:b/>
          <w:bCs/>
        </w:rPr>
        <w:t>:</w:t>
      </w:r>
    </w:p>
    <w:p w14:paraId="6B0858FC" w14:textId="77777777" w:rsidR="00B4684D" w:rsidRPr="00B4684D" w:rsidRDefault="00B4684D" w:rsidP="00BA4555">
      <w:pPr>
        <w:spacing w:after="0"/>
        <w:rPr>
          <w:b/>
          <w:bCs/>
        </w:rPr>
      </w:pPr>
      <w:r w:rsidRPr="00B4684D">
        <w:rPr>
          <w:b/>
          <w:bCs/>
        </w:rPr>
        <w:t>Model Specification</w:t>
      </w:r>
    </w:p>
    <w:p w14:paraId="3A4AAC77" w14:textId="77777777" w:rsidR="00B4684D" w:rsidRPr="00B4684D" w:rsidRDefault="00B4684D" w:rsidP="00BA4555">
      <w:pPr>
        <w:spacing w:after="0"/>
      </w:pPr>
      <w:r w:rsidRPr="00B4684D">
        <w:t>The ARMA model was chosen for its suitability in capturing linear dependencies in stationary data. The parameters (p, d, q) were selected based on:</w:t>
      </w:r>
    </w:p>
    <w:p w14:paraId="5DC720E1" w14:textId="77777777" w:rsidR="00B4684D" w:rsidRPr="00B4684D" w:rsidRDefault="00B4684D" w:rsidP="00BA4555">
      <w:pPr>
        <w:numPr>
          <w:ilvl w:val="0"/>
          <w:numId w:val="8"/>
        </w:numPr>
        <w:spacing w:after="0"/>
      </w:pPr>
      <w:r w:rsidRPr="00B4684D">
        <w:rPr>
          <w:b/>
          <w:bCs/>
        </w:rPr>
        <w:t>Grid Search</w:t>
      </w:r>
      <w:r w:rsidRPr="00B4684D">
        <w:t>: Explored combinations of parameters.</w:t>
      </w:r>
    </w:p>
    <w:p w14:paraId="3B4534CD" w14:textId="77777777" w:rsidR="00B4684D" w:rsidRPr="00B4684D" w:rsidRDefault="00B4684D" w:rsidP="00BA4555">
      <w:pPr>
        <w:numPr>
          <w:ilvl w:val="0"/>
          <w:numId w:val="8"/>
        </w:numPr>
        <w:spacing w:after="0"/>
      </w:pPr>
      <w:r w:rsidRPr="00B4684D">
        <w:rPr>
          <w:b/>
          <w:bCs/>
        </w:rPr>
        <w:t>Akaike Information Criterion (AIC)</w:t>
      </w:r>
      <w:r w:rsidRPr="00B4684D">
        <w:t xml:space="preserve"> and </w:t>
      </w:r>
      <w:r w:rsidRPr="00B4684D">
        <w:rPr>
          <w:b/>
          <w:bCs/>
        </w:rPr>
        <w:t>Bayesian Information Criterion (BIC)</w:t>
      </w:r>
      <w:r w:rsidRPr="00B4684D">
        <w:t>: Chose the model minimizing these criteria.</w:t>
      </w:r>
    </w:p>
    <w:p w14:paraId="690766E0" w14:textId="77777777" w:rsidR="00B4684D" w:rsidRPr="00B4684D" w:rsidRDefault="00B4684D" w:rsidP="00BA4555">
      <w:pPr>
        <w:spacing w:after="0"/>
        <w:rPr>
          <w:b/>
          <w:bCs/>
        </w:rPr>
      </w:pPr>
      <w:r w:rsidRPr="00B4684D">
        <w:rPr>
          <w:b/>
          <w:bCs/>
        </w:rPr>
        <w:t>Results</w:t>
      </w:r>
    </w:p>
    <w:p w14:paraId="5C028760" w14:textId="77777777" w:rsidR="00B4684D" w:rsidRPr="00B4684D" w:rsidRDefault="00B4684D" w:rsidP="00BA4555">
      <w:pPr>
        <w:numPr>
          <w:ilvl w:val="0"/>
          <w:numId w:val="9"/>
        </w:numPr>
        <w:spacing w:after="0"/>
      </w:pPr>
      <w:r w:rsidRPr="00B4684D">
        <w:rPr>
          <w:b/>
          <w:bCs/>
        </w:rPr>
        <w:t>Johnson &amp; Johnson Data</w:t>
      </w:r>
      <w:r w:rsidRPr="00B4684D">
        <w:t xml:space="preserve">: Best-fit model is </w:t>
      </w:r>
      <w:proofErr w:type="gramStart"/>
      <w:r w:rsidRPr="00B4684D">
        <w:t>ARMA(</w:t>
      </w:r>
      <w:proofErr w:type="gramEnd"/>
      <w:r w:rsidRPr="00B4684D">
        <w:t>2,1).</w:t>
      </w:r>
    </w:p>
    <w:p w14:paraId="68104C35" w14:textId="77777777" w:rsidR="00B4684D" w:rsidRDefault="00B4684D" w:rsidP="00BA4555">
      <w:pPr>
        <w:numPr>
          <w:ilvl w:val="0"/>
          <w:numId w:val="9"/>
        </w:numPr>
        <w:spacing w:after="0"/>
      </w:pPr>
      <w:r w:rsidRPr="00B4684D">
        <w:rPr>
          <w:b/>
          <w:bCs/>
        </w:rPr>
        <w:t>Amazon Data</w:t>
      </w:r>
      <w:r w:rsidRPr="00B4684D">
        <w:t xml:space="preserve">: Best-fit model is </w:t>
      </w:r>
      <w:proofErr w:type="gramStart"/>
      <w:r w:rsidRPr="00B4684D">
        <w:t>ARMA(</w:t>
      </w:r>
      <w:proofErr w:type="gramEnd"/>
      <w:r w:rsidRPr="00B4684D">
        <w:t>1,1).</w:t>
      </w:r>
    </w:p>
    <w:p w14:paraId="2140B841" w14:textId="77777777" w:rsidR="00440CA2" w:rsidRDefault="00440CA2" w:rsidP="00440CA2">
      <w:pPr>
        <w:spacing w:after="0"/>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4615"/>
      </w:tblGrid>
      <w:tr w:rsidR="00066DE1" w14:paraId="52587BEF" w14:textId="77777777" w:rsidTr="00066DE1">
        <w:trPr>
          <w:trHeight w:val="2547"/>
        </w:trPr>
        <w:tc>
          <w:tcPr>
            <w:tcW w:w="4675" w:type="dxa"/>
          </w:tcPr>
          <w:p w14:paraId="74A76513" w14:textId="0DB200E2" w:rsidR="00066DE1" w:rsidRDefault="00066DE1" w:rsidP="00BA4555">
            <w:r>
              <w:rPr>
                <w:noProof/>
              </w:rPr>
              <w:drawing>
                <wp:inline distT="0" distB="0" distL="0" distR="0" wp14:anchorId="00D89E05" wp14:editId="202BFEA3">
                  <wp:extent cx="2941320" cy="1889760"/>
                  <wp:effectExtent l="0" t="0" r="0" b="0"/>
                  <wp:docPr id="8128813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81354" name="Picture 812881354"/>
                          <pic:cNvPicPr/>
                        </pic:nvPicPr>
                        <pic:blipFill>
                          <a:blip r:embed="rId12">
                            <a:extLst>
                              <a:ext uri="{28A0092B-C50C-407E-A947-70E740481C1C}">
                                <a14:useLocalDpi xmlns:a14="http://schemas.microsoft.com/office/drawing/2010/main" val="0"/>
                              </a:ext>
                            </a:extLst>
                          </a:blip>
                          <a:stretch>
                            <a:fillRect/>
                          </a:stretch>
                        </pic:blipFill>
                        <pic:spPr>
                          <a:xfrm>
                            <a:off x="0" y="0"/>
                            <a:ext cx="2941592" cy="1889935"/>
                          </a:xfrm>
                          <a:prstGeom prst="rect">
                            <a:avLst/>
                          </a:prstGeom>
                        </pic:spPr>
                      </pic:pic>
                    </a:graphicData>
                  </a:graphic>
                </wp:inline>
              </w:drawing>
            </w:r>
          </w:p>
        </w:tc>
        <w:tc>
          <w:tcPr>
            <w:tcW w:w="4675" w:type="dxa"/>
          </w:tcPr>
          <w:p w14:paraId="54DD8C34" w14:textId="72534E35" w:rsidR="00066DE1" w:rsidRDefault="00066DE1" w:rsidP="00BA4555">
            <w:r>
              <w:rPr>
                <w:noProof/>
              </w:rPr>
              <w:drawing>
                <wp:inline distT="0" distB="0" distL="0" distR="0" wp14:anchorId="00EC4643" wp14:editId="7CB3B9EC">
                  <wp:extent cx="2849880" cy="1897283"/>
                  <wp:effectExtent l="0" t="0" r="7620" b="8255"/>
                  <wp:docPr id="5899806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80663" name="Picture 589980663"/>
                          <pic:cNvPicPr/>
                        </pic:nvPicPr>
                        <pic:blipFill>
                          <a:blip r:embed="rId13">
                            <a:extLst>
                              <a:ext uri="{28A0092B-C50C-407E-A947-70E740481C1C}">
                                <a14:useLocalDpi xmlns:a14="http://schemas.microsoft.com/office/drawing/2010/main" val="0"/>
                              </a:ext>
                            </a:extLst>
                          </a:blip>
                          <a:stretch>
                            <a:fillRect/>
                          </a:stretch>
                        </pic:blipFill>
                        <pic:spPr>
                          <a:xfrm>
                            <a:off x="0" y="0"/>
                            <a:ext cx="2883838" cy="1919890"/>
                          </a:xfrm>
                          <a:prstGeom prst="rect">
                            <a:avLst/>
                          </a:prstGeom>
                        </pic:spPr>
                      </pic:pic>
                    </a:graphicData>
                  </a:graphic>
                </wp:inline>
              </w:drawing>
            </w:r>
          </w:p>
        </w:tc>
      </w:tr>
    </w:tbl>
    <w:p w14:paraId="65333660" w14:textId="59158634" w:rsidR="0067687D" w:rsidRDefault="008C4B19" w:rsidP="00BA4555">
      <w:pPr>
        <w:spacing w:after="0"/>
        <w:jc w:val="center"/>
        <w:rPr>
          <w:b/>
          <w:bCs/>
        </w:rPr>
      </w:pPr>
      <w:r w:rsidRPr="008C4B19">
        <w:rPr>
          <w:b/>
          <w:bCs/>
        </w:rPr>
        <w:t xml:space="preserve">Figure </w:t>
      </w:r>
      <w:r w:rsidR="009334A0">
        <w:rPr>
          <w:b/>
          <w:bCs/>
        </w:rPr>
        <w:t>3</w:t>
      </w:r>
      <w:r w:rsidRPr="008C4B19">
        <w:rPr>
          <w:b/>
          <w:bCs/>
        </w:rPr>
        <w:t xml:space="preserve">: </w:t>
      </w:r>
      <w:r w:rsidRPr="00B4684D">
        <w:rPr>
          <w:b/>
          <w:bCs/>
        </w:rPr>
        <w:t>Forecast vs. Observed</w:t>
      </w:r>
      <w:r>
        <w:rPr>
          <w:b/>
          <w:bCs/>
        </w:rPr>
        <w:t xml:space="preserve"> for JJ and AMZN</w:t>
      </w:r>
    </w:p>
    <w:p w14:paraId="56B12AE2" w14:textId="77777777" w:rsidR="00440CA2" w:rsidRPr="00B4684D" w:rsidRDefault="00440CA2" w:rsidP="00BA4555">
      <w:pPr>
        <w:spacing w:after="0"/>
        <w:jc w:val="center"/>
      </w:pPr>
    </w:p>
    <w:p w14:paraId="7C98C7FE" w14:textId="77777777" w:rsidR="00B4684D" w:rsidRPr="00B4684D" w:rsidRDefault="00B4684D" w:rsidP="00BA4555">
      <w:pPr>
        <w:numPr>
          <w:ilvl w:val="0"/>
          <w:numId w:val="10"/>
        </w:numPr>
        <w:spacing w:after="0"/>
      </w:pPr>
      <w:r w:rsidRPr="00B4684D">
        <w:rPr>
          <w:b/>
          <w:bCs/>
        </w:rPr>
        <w:t>Forecast vs. Observed (ARMA)</w:t>
      </w:r>
      <w:r w:rsidRPr="00B4684D">
        <w:t>:</w:t>
      </w:r>
    </w:p>
    <w:p w14:paraId="0C3D6658" w14:textId="77777777" w:rsidR="00B4684D" w:rsidRDefault="00B4684D" w:rsidP="00BA4555">
      <w:pPr>
        <w:numPr>
          <w:ilvl w:val="1"/>
          <w:numId w:val="10"/>
        </w:numPr>
        <w:spacing w:after="0"/>
      </w:pPr>
      <w:r w:rsidRPr="00B4684D">
        <w:t>Overlay predicted values on the observed time series for both datasets.</w:t>
      </w:r>
    </w:p>
    <w:p w14:paraId="72EB60CA" w14:textId="77777777" w:rsidR="00FE6523" w:rsidRDefault="00FE6523" w:rsidP="00FE6523">
      <w:pPr>
        <w:spacing w:after="0"/>
        <w:ind w:left="1440"/>
      </w:pPr>
    </w:p>
    <w:p w14:paraId="280D3078" w14:textId="0E58BB8A" w:rsidR="00B4684D" w:rsidRPr="00B4684D" w:rsidRDefault="00B4684D" w:rsidP="00BA4555">
      <w:pPr>
        <w:spacing w:after="0"/>
        <w:rPr>
          <w:b/>
          <w:bCs/>
        </w:rPr>
      </w:pPr>
      <w:r w:rsidRPr="00B4684D">
        <w:rPr>
          <w:b/>
          <w:bCs/>
        </w:rPr>
        <w:t>Neural Network-Based Modeling</w:t>
      </w:r>
      <w:r>
        <w:rPr>
          <w:b/>
          <w:bCs/>
        </w:rPr>
        <w:t>:</w:t>
      </w:r>
    </w:p>
    <w:p w14:paraId="1D092F1B" w14:textId="77777777" w:rsidR="00B4684D" w:rsidRPr="00B4684D" w:rsidRDefault="00B4684D" w:rsidP="00BA4555">
      <w:pPr>
        <w:spacing w:after="0"/>
        <w:rPr>
          <w:b/>
          <w:bCs/>
        </w:rPr>
      </w:pPr>
      <w:r w:rsidRPr="00B4684D">
        <w:rPr>
          <w:b/>
          <w:bCs/>
        </w:rPr>
        <w:t>Model Design</w:t>
      </w:r>
    </w:p>
    <w:p w14:paraId="0460EB8A" w14:textId="77777777" w:rsidR="00B4684D" w:rsidRPr="00B4684D" w:rsidRDefault="00B4684D" w:rsidP="00BA4555">
      <w:pPr>
        <w:spacing w:after="0"/>
      </w:pPr>
      <w:r w:rsidRPr="00B4684D">
        <w:t>Recurrent neural networks (RNNs) such as LSTM and GRU were used to capture non-linear and sequential dependencies.</w:t>
      </w:r>
    </w:p>
    <w:p w14:paraId="34BAED02" w14:textId="77777777" w:rsidR="00176059" w:rsidRDefault="00176059" w:rsidP="00BA4555">
      <w:pPr>
        <w:spacing w:after="0"/>
        <w:rPr>
          <w:b/>
          <w:bCs/>
        </w:rPr>
      </w:pPr>
    </w:p>
    <w:p w14:paraId="1538C09D" w14:textId="0AB74ABD" w:rsidR="00B4684D" w:rsidRPr="00B4684D" w:rsidRDefault="00B4684D" w:rsidP="00BA4555">
      <w:pPr>
        <w:spacing w:after="0"/>
        <w:rPr>
          <w:b/>
          <w:bCs/>
        </w:rPr>
      </w:pPr>
      <w:r w:rsidRPr="00B4684D">
        <w:rPr>
          <w:b/>
          <w:bCs/>
        </w:rPr>
        <w:lastRenderedPageBreak/>
        <w:t>Advantages:</w:t>
      </w:r>
    </w:p>
    <w:p w14:paraId="3D41F258" w14:textId="77777777" w:rsidR="00B4684D" w:rsidRPr="00B4684D" w:rsidRDefault="00B4684D" w:rsidP="00BA4555">
      <w:pPr>
        <w:numPr>
          <w:ilvl w:val="0"/>
          <w:numId w:val="11"/>
        </w:numPr>
        <w:spacing w:after="0"/>
      </w:pPr>
      <w:r w:rsidRPr="00B4684D">
        <w:t>LSTMs excel at learning long-term dependencies.</w:t>
      </w:r>
    </w:p>
    <w:p w14:paraId="25FAF35C" w14:textId="77777777" w:rsidR="00B4684D" w:rsidRPr="00B4684D" w:rsidRDefault="00B4684D" w:rsidP="00BA4555">
      <w:pPr>
        <w:numPr>
          <w:ilvl w:val="0"/>
          <w:numId w:val="11"/>
        </w:numPr>
        <w:spacing w:after="0"/>
      </w:pPr>
      <w:r w:rsidRPr="00B4684D">
        <w:t>GRUs are computationally efficient for volatile datasets like stock prices.</w:t>
      </w:r>
    </w:p>
    <w:p w14:paraId="2756DEA6" w14:textId="77777777" w:rsidR="00B4684D" w:rsidRPr="00B4684D" w:rsidRDefault="00B4684D" w:rsidP="00BA4555">
      <w:pPr>
        <w:spacing w:after="0"/>
        <w:rPr>
          <w:b/>
          <w:bCs/>
        </w:rPr>
      </w:pPr>
      <w:r w:rsidRPr="00B4684D">
        <w:rPr>
          <w:b/>
          <w:bCs/>
        </w:rPr>
        <w:t>Hyperparameter Tuning</w:t>
      </w:r>
    </w:p>
    <w:p w14:paraId="4AA8520F" w14:textId="77777777" w:rsidR="00B4684D" w:rsidRPr="00B4684D" w:rsidRDefault="00B4684D" w:rsidP="00BA4555">
      <w:pPr>
        <w:spacing w:after="0"/>
      </w:pPr>
      <w:r w:rsidRPr="00B4684D">
        <w:t>Key parameters were optimized for performance:</w:t>
      </w:r>
    </w:p>
    <w:p w14:paraId="3660D56D" w14:textId="77777777" w:rsidR="00B4684D" w:rsidRPr="00B4684D" w:rsidRDefault="00B4684D" w:rsidP="00BA4555">
      <w:pPr>
        <w:numPr>
          <w:ilvl w:val="0"/>
          <w:numId w:val="12"/>
        </w:numPr>
        <w:spacing w:after="0"/>
      </w:pPr>
      <w:r w:rsidRPr="00B4684D">
        <w:t>Batch size: 32</w:t>
      </w:r>
    </w:p>
    <w:p w14:paraId="3BE8977B" w14:textId="77777777" w:rsidR="00B4684D" w:rsidRPr="00B4684D" w:rsidRDefault="00B4684D" w:rsidP="00BA4555">
      <w:pPr>
        <w:numPr>
          <w:ilvl w:val="0"/>
          <w:numId w:val="12"/>
        </w:numPr>
        <w:spacing w:after="0"/>
      </w:pPr>
      <w:r w:rsidRPr="00B4684D">
        <w:t>Epochs: 100</w:t>
      </w:r>
    </w:p>
    <w:p w14:paraId="65081E33" w14:textId="77777777" w:rsidR="00B4684D" w:rsidRDefault="00B4684D" w:rsidP="00BA4555">
      <w:pPr>
        <w:numPr>
          <w:ilvl w:val="0"/>
          <w:numId w:val="12"/>
        </w:numPr>
        <w:spacing w:after="0"/>
      </w:pPr>
      <w:r w:rsidRPr="00B4684D">
        <w:t>Learning rate: 0.001</w:t>
      </w:r>
    </w:p>
    <w:p w14:paraId="37D33765" w14:textId="77777777" w:rsidR="0037212E" w:rsidRDefault="0037212E" w:rsidP="0037212E">
      <w:pPr>
        <w:spacing w:after="0"/>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17"/>
      </w:tblGrid>
      <w:tr w:rsidR="009334A0" w14:paraId="59C84CB3" w14:textId="77777777" w:rsidTr="009334A0">
        <w:trPr>
          <w:trHeight w:val="2561"/>
        </w:trPr>
        <w:tc>
          <w:tcPr>
            <w:tcW w:w="4675" w:type="dxa"/>
          </w:tcPr>
          <w:p w14:paraId="26CF1FB2" w14:textId="4E4E6404" w:rsidR="00066DE1" w:rsidRDefault="009334A0" w:rsidP="00BA4555">
            <w:r>
              <w:rPr>
                <w:noProof/>
              </w:rPr>
              <w:drawing>
                <wp:inline distT="0" distB="0" distL="0" distR="0" wp14:anchorId="305FD4EE" wp14:editId="2FF81358">
                  <wp:extent cx="2979420" cy="2011680"/>
                  <wp:effectExtent l="0" t="0" r="0" b="7620"/>
                  <wp:docPr id="1189153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5333" name="Picture 118915333"/>
                          <pic:cNvPicPr/>
                        </pic:nvPicPr>
                        <pic:blipFill>
                          <a:blip r:embed="rId14">
                            <a:extLst>
                              <a:ext uri="{28A0092B-C50C-407E-A947-70E740481C1C}">
                                <a14:useLocalDpi xmlns:a14="http://schemas.microsoft.com/office/drawing/2010/main" val="0"/>
                              </a:ext>
                            </a:extLst>
                          </a:blip>
                          <a:stretch>
                            <a:fillRect/>
                          </a:stretch>
                        </pic:blipFill>
                        <pic:spPr>
                          <a:xfrm>
                            <a:off x="0" y="0"/>
                            <a:ext cx="2979687" cy="2011860"/>
                          </a:xfrm>
                          <a:prstGeom prst="rect">
                            <a:avLst/>
                          </a:prstGeom>
                        </pic:spPr>
                      </pic:pic>
                    </a:graphicData>
                  </a:graphic>
                </wp:inline>
              </w:drawing>
            </w:r>
          </w:p>
        </w:tc>
        <w:tc>
          <w:tcPr>
            <w:tcW w:w="4675" w:type="dxa"/>
          </w:tcPr>
          <w:p w14:paraId="72FFC8D3" w14:textId="1D08A1B8" w:rsidR="00066DE1" w:rsidRDefault="009334A0" w:rsidP="00BA4555">
            <w:r>
              <w:rPr>
                <w:noProof/>
              </w:rPr>
              <w:drawing>
                <wp:inline distT="0" distB="0" distL="0" distR="0" wp14:anchorId="6F30D4A0" wp14:editId="0CEE3C28">
                  <wp:extent cx="3025140" cy="1988820"/>
                  <wp:effectExtent l="0" t="0" r="3810" b="0"/>
                  <wp:docPr id="17517275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27552" name="Picture 1751727552"/>
                          <pic:cNvPicPr/>
                        </pic:nvPicPr>
                        <pic:blipFill>
                          <a:blip r:embed="rId15">
                            <a:extLst>
                              <a:ext uri="{28A0092B-C50C-407E-A947-70E740481C1C}">
                                <a14:useLocalDpi xmlns:a14="http://schemas.microsoft.com/office/drawing/2010/main" val="0"/>
                              </a:ext>
                            </a:extLst>
                          </a:blip>
                          <a:stretch>
                            <a:fillRect/>
                          </a:stretch>
                        </pic:blipFill>
                        <pic:spPr>
                          <a:xfrm>
                            <a:off x="0" y="0"/>
                            <a:ext cx="3045066" cy="2001920"/>
                          </a:xfrm>
                          <a:prstGeom prst="rect">
                            <a:avLst/>
                          </a:prstGeom>
                        </pic:spPr>
                      </pic:pic>
                    </a:graphicData>
                  </a:graphic>
                </wp:inline>
              </w:drawing>
            </w:r>
          </w:p>
        </w:tc>
      </w:tr>
    </w:tbl>
    <w:p w14:paraId="17BF753B" w14:textId="5464041E" w:rsidR="00566C25" w:rsidRDefault="009334A0" w:rsidP="00BA4555">
      <w:pPr>
        <w:spacing w:after="0"/>
        <w:ind w:left="720"/>
        <w:jc w:val="center"/>
        <w:rPr>
          <w:b/>
          <w:bCs/>
        </w:rPr>
      </w:pPr>
      <w:r w:rsidRPr="009334A0">
        <w:rPr>
          <w:b/>
          <w:bCs/>
        </w:rPr>
        <w:t xml:space="preserve">Figure </w:t>
      </w:r>
      <w:r>
        <w:rPr>
          <w:b/>
          <w:bCs/>
        </w:rPr>
        <w:t>4</w:t>
      </w:r>
      <w:r w:rsidRPr="009334A0">
        <w:rPr>
          <w:b/>
          <w:bCs/>
        </w:rPr>
        <w:t xml:space="preserve">: </w:t>
      </w:r>
      <w:r w:rsidRPr="00B4684D">
        <w:rPr>
          <w:b/>
          <w:bCs/>
        </w:rPr>
        <w:t>Forecast vs. Observed (LSTM and GRU)</w:t>
      </w:r>
    </w:p>
    <w:p w14:paraId="03581304" w14:textId="77777777" w:rsidR="00FE6523" w:rsidRPr="00B4684D" w:rsidRDefault="00FE6523" w:rsidP="00BA4555">
      <w:pPr>
        <w:spacing w:after="0"/>
        <w:ind w:left="720"/>
        <w:jc w:val="center"/>
        <w:rPr>
          <w:b/>
          <w:bCs/>
        </w:rPr>
      </w:pPr>
    </w:p>
    <w:p w14:paraId="34E500D9" w14:textId="77777777" w:rsidR="00B4684D" w:rsidRPr="00B4684D" w:rsidRDefault="00B4684D" w:rsidP="00BA4555">
      <w:pPr>
        <w:numPr>
          <w:ilvl w:val="0"/>
          <w:numId w:val="13"/>
        </w:numPr>
        <w:spacing w:after="0"/>
      </w:pPr>
      <w:r w:rsidRPr="00B4684D">
        <w:rPr>
          <w:b/>
          <w:bCs/>
        </w:rPr>
        <w:t>Forecast vs. Observed (LSTM and GRU)</w:t>
      </w:r>
      <w:r w:rsidRPr="00B4684D">
        <w:t>:</w:t>
      </w:r>
    </w:p>
    <w:p w14:paraId="505E5ED2" w14:textId="77777777" w:rsidR="00B4684D" w:rsidRPr="00B4684D" w:rsidRDefault="00B4684D" w:rsidP="00BA4555">
      <w:pPr>
        <w:numPr>
          <w:ilvl w:val="1"/>
          <w:numId w:val="13"/>
        </w:numPr>
        <w:spacing w:after="0"/>
      </w:pPr>
      <w:r w:rsidRPr="00B4684D">
        <w:t>Plot side-by-side comparisons of forecasts for both datasets.</w:t>
      </w:r>
    </w:p>
    <w:p w14:paraId="4F687DE6" w14:textId="77777777" w:rsidR="00B4684D" w:rsidRPr="00B4684D" w:rsidRDefault="00B4684D" w:rsidP="00BA4555">
      <w:pPr>
        <w:spacing w:after="0"/>
        <w:rPr>
          <w:b/>
          <w:bCs/>
        </w:rPr>
      </w:pPr>
      <w:r w:rsidRPr="00B4684D">
        <w:rPr>
          <w:b/>
          <w:bCs/>
        </w:rPr>
        <w:t>Results</w:t>
      </w:r>
    </w:p>
    <w:p w14:paraId="76B2B1B3" w14:textId="77777777" w:rsidR="00B4684D" w:rsidRPr="00B4684D" w:rsidRDefault="00B4684D" w:rsidP="00BA4555">
      <w:pPr>
        <w:numPr>
          <w:ilvl w:val="0"/>
          <w:numId w:val="14"/>
        </w:numPr>
        <w:spacing w:after="0"/>
      </w:pPr>
      <w:r w:rsidRPr="00B4684D">
        <w:t>LSTM and GRU models significantly outperformed ARMA, capturing seasonality and volatility more effectively.</w:t>
      </w:r>
    </w:p>
    <w:p w14:paraId="06C80E2D" w14:textId="77777777" w:rsidR="00B4684D" w:rsidRPr="00B4684D" w:rsidRDefault="00B4684D" w:rsidP="00BA4555">
      <w:pPr>
        <w:spacing w:after="0"/>
        <w:rPr>
          <w:b/>
          <w:bCs/>
        </w:rPr>
      </w:pPr>
      <w:r w:rsidRPr="00B4684D">
        <w:rPr>
          <w:b/>
          <w:bCs/>
        </w:rPr>
        <w:t>Evaluation Metrics</w:t>
      </w:r>
    </w:p>
    <w:p w14:paraId="43D47ED5" w14:textId="77777777" w:rsidR="00B4684D" w:rsidRPr="00B4684D" w:rsidRDefault="00B4684D" w:rsidP="00BA4555">
      <w:pPr>
        <w:spacing w:after="0"/>
        <w:rPr>
          <w:b/>
          <w:bCs/>
        </w:rPr>
      </w:pPr>
      <w:r w:rsidRPr="00B4684D">
        <w:rPr>
          <w:b/>
          <w:bCs/>
        </w:rPr>
        <w:t>Metrics Used</w:t>
      </w:r>
    </w:p>
    <w:p w14:paraId="4A128AD8" w14:textId="77777777" w:rsidR="00B4684D" w:rsidRPr="00B4684D" w:rsidRDefault="00B4684D" w:rsidP="00BA4555">
      <w:pPr>
        <w:numPr>
          <w:ilvl w:val="0"/>
          <w:numId w:val="15"/>
        </w:numPr>
        <w:spacing w:after="0"/>
      </w:pPr>
      <w:r w:rsidRPr="00B4684D">
        <w:rPr>
          <w:b/>
          <w:bCs/>
        </w:rPr>
        <w:t>Root Mean Square Error (RMSE)</w:t>
      </w:r>
      <w:r w:rsidRPr="00B4684D">
        <w:t>: Measures overall forecast accuracy.</w:t>
      </w:r>
    </w:p>
    <w:p w14:paraId="7113A078" w14:textId="4A45221C" w:rsidR="0037212E" w:rsidRDefault="00B4684D" w:rsidP="0037212E">
      <w:pPr>
        <w:numPr>
          <w:ilvl w:val="0"/>
          <w:numId w:val="15"/>
        </w:numPr>
        <w:spacing w:after="0"/>
      </w:pPr>
      <w:r w:rsidRPr="00B4684D">
        <w:rPr>
          <w:b/>
          <w:bCs/>
        </w:rPr>
        <w:t>Mean Absolute Error (MAE)</w:t>
      </w:r>
      <w:r w:rsidRPr="00B4684D">
        <w:t>: Highlights average deviation from observed values.</w:t>
      </w:r>
    </w:p>
    <w:p w14:paraId="1405D2F9" w14:textId="1F3DCF66" w:rsidR="0037212E" w:rsidRPr="00B4684D" w:rsidRDefault="0037212E" w:rsidP="0037212E">
      <w:pPr>
        <w:spacing w:after="0"/>
        <w:ind w:left="720"/>
      </w:pPr>
    </w:p>
    <w:p w14:paraId="1DCEF827" w14:textId="593A566D" w:rsidR="0037212E" w:rsidRPr="0037212E" w:rsidRDefault="00B4684D" w:rsidP="00BA4555">
      <w:pPr>
        <w:spacing w:after="0"/>
        <w:rPr>
          <w:b/>
          <w:bCs/>
        </w:rPr>
      </w:pPr>
      <w:r w:rsidRPr="00B4684D">
        <w:rPr>
          <w:b/>
          <w:bCs/>
        </w:rPr>
        <w:t>Results Summary</w:t>
      </w:r>
    </w:p>
    <w:tbl>
      <w:tblPr>
        <w:tblStyle w:val="TableGrid"/>
        <w:tblW w:w="0" w:type="auto"/>
        <w:tblLook w:val="04A0" w:firstRow="1" w:lastRow="0" w:firstColumn="1" w:lastColumn="0" w:noHBand="0" w:noVBand="1"/>
      </w:tblPr>
      <w:tblGrid>
        <w:gridCol w:w="2337"/>
        <w:gridCol w:w="2337"/>
        <w:gridCol w:w="2338"/>
        <w:gridCol w:w="2338"/>
      </w:tblGrid>
      <w:tr w:rsidR="00B4684D" w14:paraId="23320C1B" w14:textId="77777777" w:rsidTr="00B4684D">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66"/>
              <w:gridCol w:w="81"/>
            </w:tblGrid>
            <w:tr w:rsidR="00B4684D" w:rsidRPr="00B4684D" w14:paraId="30472FC3" w14:textId="77777777" w:rsidTr="00D47326">
              <w:trPr>
                <w:tblHeader/>
                <w:tblCellSpacing w:w="15" w:type="dxa"/>
              </w:trPr>
              <w:tc>
                <w:tcPr>
                  <w:tcW w:w="0" w:type="auto"/>
                  <w:vAlign w:val="center"/>
                  <w:hideMark/>
                </w:tcPr>
                <w:p w14:paraId="0F5FBAA3" w14:textId="77777777" w:rsidR="006479D4" w:rsidRDefault="006479D4" w:rsidP="00BA4555">
                  <w:pPr>
                    <w:spacing w:after="0"/>
                    <w:jc w:val="center"/>
                    <w:rPr>
                      <w:b/>
                      <w:bCs/>
                    </w:rPr>
                  </w:pPr>
                  <w:r>
                    <w:rPr>
                      <w:b/>
                      <w:bCs/>
                    </w:rPr>
                    <w:t>Dataset</w:t>
                  </w:r>
                </w:p>
                <w:p w14:paraId="4F5FBD15" w14:textId="70884E33" w:rsidR="00B4684D" w:rsidRPr="00B4684D" w:rsidRDefault="00B4684D" w:rsidP="00BA4555">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26E5A3E6" w14:textId="77777777" w:rsidR="00B4684D" w:rsidRPr="00B4684D" w:rsidRDefault="00B4684D" w:rsidP="00BA4555">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52CD7D27" w14:textId="77777777" w:rsidR="00B4684D" w:rsidRPr="00B4684D" w:rsidRDefault="00B4684D" w:rsidP="00BA4555">
                  <w:pPr>
                    <w:spacing w:after="0" w:line="240" w:lineRule="auto"/>
                    <w:jc w:val="center"/>
                    <w:rPr>
                      <w:rFonts w:ascii="Times New Roman" w:eastAsia="Times New Roman" w:hAnsi="Times New Roman" w:cs="Times New Roman"/>
                      <w:b/>
                      <w:bCs/>
                      <w:kern w:val="0"/>
                      <w14:ligatures w14:val="none"/>
                    </w:rPr>
                  </w:pPr>
                </w:p>
              </w:tc>
            </w:tr>
          </w:tbl>
          <w:p w14:paraId="00C1CEF2" w14:textId="77777777" w:rsidR="00B4684D" w:rsidRDefault="00B4684D" w:rsidP="00BA4555"/>
        </w:tc>
        <w:tc>
          <w:tcPr>
            <w:tcW w:w="2337" w:type="dxa"/>
          </w:tcPr>
          <w:p w14:paraId="262CC7FF" w14:textId="4CC66F37" w:rsidR="00B4684D" w:rsidRDefault="00B4684D" w:rsidP="00BA4555">
            <w:r w:rsidRPr="00B4684D">
              <w:rPr>
                <w:b/>
                <w:bCs/>
              </w:rPr>
              <w:t>Model</w:t>
            </w:r>
          </w:p>
        </w:tc>
        <w:tc>
          <w:tcPr>
            <w:tcW w:w="2338" w:type="dxa"/>
          </w:tcPr>
          <w:p w14:paraId="1F015051" w14:textId="54839AA8" w:rsidR="00B4684D" w:rsidRDefault="00B4684D" w:rsidP="00BA4555">
            <w:r w:rsidRPr="00B4684D">
              <w:rPr>
                <w:b/>
                <w:bCs/>
              </w:rPr>
              <w:t>RMSE</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
            </w:tblGrid>
            <w:tr w:rsidR="00B4684D" w:rsidRPr="006479D4" w14:paraId="6E3A97B2" w14:textId="77777777" w:rsidTr="00D47326">
              <w:trPr>
                <w:tblHeader/>
                <w:tblCellSpacing w:w="15" w:type="dxa"/>
              </w:trPr>
              <w:tc>
                <w:tcPr>
                  <w:tcW w:w="0" w:type="auto"/>
                  <w:vAlign w:val="center"/>
                  <w:hideMark/>
                </w:tcPr>
                <w:p w14:paraId="2018B092" w14:textId="6F492B7A" w:rsidR="00B4684D" w:rsidRPr="00B4684D" w:rsidRDefault="006479D4" w:rsidP="00BA4555">
                  <w:pPr>
                    <w:spacing w:after="0" w:line="240" w:lineRule="auto"/>
                    <w:jc w:val="center"/>
                    <w:rPr>
                      <w:rFonts w:ascii="Times New Roman" w:eastAsia="Times New Roman" w:hAnsi="Times New Roman" w:cs="Times New Roman"/>
                      <w:b/>
                      <w:bCs/>
                      <w:kern w:val="0"/>
                      <w14:ligatures w14:val="none"/>
                    </w:rPr>
                  </w:pPr>
                  <w:r w:rsidRPr="006479D4">
                    <w:rPr>
                      <w:b/>
                      <w:bCs/>
                    </w:rPr>
                    <w:t>MAE</w:t>
                  </w:r>
                </w:p>
              </w:tc>
            </w:tr>
          </w:tbl>
          <w:p w14:paraId="1072E7C4" w14:textId="77777777" w:rsidR="00B4684D" w:rsidRDefault="00B4684D" w:rsidP="00BA4555"/>
        </w:tc>
      </w:tr>
      <w:tr w:rsidR="006479D4" w14:paraId="7CFB715F" w14:textId="77777777" w:rsidTr="00B4684D">
        <w:tc>
          <w:tcPr>
            <w:tcW w:w="2337" w:type="dxa"/>
          </w:tcPr>
          <w:p w14:paraId="520724FD" w14:textId="45EE31FC" w:rsidR="006479D4" w:rsidRDefault="006479D4" w:rsidP="00BA4555">
            <w:r w:rsidRPr="00B4684D">
              <w:t>Johnson &amp; Johnson Sales</w:t>
            </w:r>
          </w:p>
        </w:tc>
        <w:tc>
          <w:tcPr>
            <w:tcW w:w="2337" w:type="dxa"/>
          </w:tcPr>
          <w:p w14:paraId="7722D071" w14:textId="533A63D4" w:rsidR="006479D4" w:rsidRDefault="006479D4" w:rsidP="00BA4555">
            <w:r w:rsidRPr="00B4684D">
              <w:t>ARMA</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tblGrid>
            <w:tr w:rsidR="006479D4" w:rsidRPr="008276C5" w14:paraId="729B9A95" w14:textId="77777777" w:rsidTr="00233871">
              <w:trPr>
                <w:tblCellSpacing w:w="15" w:type="dxa"/>
              </w:trPr>
              <w:tc>
                <w:tcPr>
                  <w:tcW w:w="0" w:type="auto"/>
                  <w:vAlign w:val="center"/>
                  <w:hideMark/>
                </w:tcPr>
                <w:p w14:paraId="7BB53ABF" w14:textId="77777777" w:rsidR="006479D4" w:rsidRPr="008276C5" w:rsidRDefault="006479D4" w:rsidP="00BA4555">
                  <w:pPr>
                    <w:spacing w:after="0"/>
                  </w:pPr>
                  <w:r w:rsidRPr="008276C5">
                    <w:t>0.453</w:t>
                  </w:r>
                </w:p>
              </w:tc>
            </w:tr>
          </w:tbl>
          <w:p w14:paraId="0DA36EFF" w14:textId="77777777" w:rsidR="006479D4" w:rsidRDefault="006479D4" w:rsidP="00BA4555"/>
        </w:tc>
        <w:tc>
          <w:tcPr>
            <w:tcW w:w="2338" w:type="dxa"/>
          </w:tcPr>
          <w:p w14:paraId="51E5EE7F" w14:textId="0AD300E5" w:rsidR="006479D4" w:rsidRDefault="006479D4" w:rsidP="00BA4555">
            <w:r w:rsidRPr="006479D4">
              <w:t>0.329</w:t>
            </w:r>
          </w:p>
        </w:tc>
      </w:tr>
      <w:tr w:rsidR="00B4684D" w14:paraId="4F4AE8EF" w14:textId="77777777" w:rsidTr="00B4684D">
        <w:tc>
          <w:tcPr>
            <w:tcW w:w="2337" w:type="dxa"/>
          </w:tcPr>
          <w:p w14:paraId="553957A6" w14:textId="77777777" w:rsidR="00B4684D" w:rsidRDefault="00B4684D" w:rsidP="00BA4555"/>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684D" w:rsidRPr="00B4684D" w14:paraId="1A4A8FAC" w14:textId="77777777" w:rsidTr="00B4684D">
              <w:trPr>
                <w:tblCellSpacing w:w="15" w:type="dxa"/>
              </w:trPr>
              <w:tc>
                <w:tcPr>
                  <w:tcW w:w="0" w:type="auto"/>
                  <w:vAlign w:val="center"/>
                  <w:hideMark/>
                </w:tcPr>
                <w:p w14:paraId="211E164F" w14:textId="77777777" w:rsidR="00B4684D" w:rsidRPr="00B4684D" w:rsidRDefault="00B4684D" w:rsidP="00BA4555">
                  <w:pPr>
                    <w:spacing w:after="0" w:line="240" w:lineRule="auto"/>
                  </w:pPr>
                </w:p>
              </w:tc>
            </w:tr>
          </w:tbl>
          <w:p w14:paraId="39766B16" w14:textId="77777777" w:rsidR="00B4684D" w:rsidRPr="00B4684D" w:rsidRDefault="00B4684D" w:rsidP="00BA45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tblGrid>
            <w:tr w:rsidR="00B4684D" w:rsidRPr="00B4684D" w14:paraId="36EB60C2" w14:textId="77777777" w:rsidTr="00B4684D">
              <w:trPr>
                <w:tblCellSpacing w:w="15" w:type="dxa"/>
              </w:trPr>
              <w:tc>
                <w:tcPr>
                  <w:tcW w:w="0" w:type="auto"/>
                  <w:vAlign w:val="center"/>
                  <w:hideMark/>
                </w:tcPr>
                <w:p w14:paraId="0EF70E47" w14:textId="77777777" w:rsidR="00B4684D" w:rsidRPr="00B4684D" w:rsidRDefault="00B4684D" w:rsidP="00BA4555">
                  <w:pPr>
                    <w:spacing w:after="0" w:line="240" w:lineRule="auto"/>
                  </w:pPr>
                  <w:r w:rsidRPr="00B4684D">
                    <w:t>LSTM</w:t>
                  </w:r>
                </w:p>
              </w:tc>
            </w:tr>
          </w:tbl>
          <w:p w14:paraId="13E46B2D" w14:textId="77777777" w:rsidR="00B4684D" w:rsidRDefault="00B4684D" w:rsidP="00BA4555"/>
        </w:tc>
        <w:tc>
          <w:tcPr>
            <w:tcW w:w="2338" w:type="dxa"/>
          </w:tcPr>
          <w:p w14:paraId="3CF05818" w14:textId="20109458" w:rsidR="00B4684D" w:rsidRDefault="006479D4" w:rsidP="00BA4555">
            <w:r w:rsidRPr="006479D4">
              <w:t>0.231</w:t>
            </w:r>
          </w:p>
        </w:tc>
        <w:tc>
          <w:tcPr>
            <w:tcW w:w="2338" w:type="dxa"/>
          </w:tcPr>
          <w:p w14:paraId="6B7053C7" w14:textId="0A213D99" w:rsidR="00B4684D" w:rsidRDefault="006479D4" w:rsidP="00BA4555">
            <w:r w:rsidRPr="006479D4">
              <w:t>0.190</w:t>
            </w:r>
          </w:p>
        </w:tc>
      </w:tr>
      <w:tr w:rsidR="00B4684D" w14:paraId="354A1FFF" w14:textId="77777777" w:rsidTr="00B4684D">
        <w:tc>
          <w:tcPr>
            <w:tcW w:w="2337" w:type="dxa"/>
          </w:tcPr>
          <w:p w14:paraId="07D70B8B" w14:textId="16107745" w:rsidR="00B4684D" w:rsidRDefault="00B4684D" w:rsidP="00BA4555">
            <w:r w:rsidRPr="00B4684D">
              <w:t>Amazon Share Price</w:t>
            </w:r>
          </w:p>
        </w:tc>
        <w:tc>
          <w:tcPr>
            <w:tcW w:w="2337" w:type="dxa"/>
          </w:tcPr>
          <w:p w14:paraId="5FE28A7E" w14:textId="20D7B431" w:rsidR="00B4684D" w:rsidRDefault="00B4684D" w:rsidP="00BA4555">
            <w:r w:rsidRPr="00B4684D">
              <w:t>ARMA</w:t>
            </w:r>
          </w:p>
        </w:tc>
        <w:tc>
          <w:tcPr>
            <w:tcW w:w="2338" w:type="dxa"/>
          </w:tcPr>
          <w:p w14:paraId="10E7EA0E" w14:textId="440326A6" w:rsidR="00B4684D" w:rsidRDefault="006479D4" w:rsidP="00BA4555">
            <w:r w:rsidRPr="006479D4">
              <w:t>5.732</w:t>
            </w:r>
          </w:p>
        </w:tc>
        <w:tc>
          <w:tcPr>
            <w:tcW w:w="2338" w:type="dxa"/>
          </w:tcPr>
          <w:p w14:paraId="2C0ACC3E" w14:textId="4A0067B7" w:rsidR="00B4684D" w:rsidRDefault="006479D4" w:rsidP="00BA4555">
            <w:r w:rsidRPr="006479D4">
              <w:t>4.892</w:t>
            </w:r>
          </w:p>
        </w:tc>
      </w:tr>
      <w:tr w:rsidR="00B4684D" w14:paraId="58495969" w14:textId="77777777" w:rsidTr="00B4684D">
        <w:tc>
          <w:tcPr>
            <w:tcW w:w="2337" w:type="dxa"/>
          </w:tcPr>
          <w:p w14:paraId="77BA3953" w14:textId="77777777" w:rsidR="00B4684D" w:rsidRDefault="00B4684D" w:rsidP="00BA4555"/>
        </w:tc>
        <w:tc>
          <w:tcPr>
            <w:tcW w:w="2337" w:type="dxa"/>
          </w:tcPr>
          <w:p w14:paraId="3E360E21" w14:textId="58936F81" w:rsidR="00B4684D" w:rsidRDefault="00B4684D" w:rsidP="00BA4555">
            <w:r w:rsidRPr="00B4684D">
              <w:t>GRU</w:t>
            </w:r>
          </w:p>
        </w:tc>
        <w:tc>
          <w:tcPr>
            <w:tcW w:w="2338" w:type="dxa"/>
          </w:tcPr>
          <w:p w14:paraId="3AC8CDE6" w14:textId="5B5D6F98" w:rsidR="00B4684D" w:rsidRDefault="006479D4" w:rsidP="00BA4555">
            <w:r w:rsidRPr="006479D4">
              <w:t>3.214</w:t>
            </w:r>
          </w:p>
        </w:tc>
        <w:tc>
          <w:tcPr>
            <w:tcW w:w="2338" w:type="dxa"/>
          </w:tcPr>
          <w:p w14:paraId="448FB617" w14:textId="45E349E0" w:rsidR="00B4684D" w:rsidRDefault="006479D4" w:rsidP="00BA4555">
            <w:r w:rsidRPr="006479D4">
              <w:t>2.876</w:t>
            </w:r>
          </w:p>
        </w:tc>
      </w:tr>
    </w:tbl>
    <w:p w14:paraId="2892B82C" w14:textId="77777777" w:rsidR="00B4684D" w:rsidRDefault="00B4684D" w:rsidP="00BA455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0"/>
        <w:gridCol w:w="4530"/>
      </w:tblGrid>
      <w:tr w:rsidR="00BA4555" w14:paraId="1969D35B" w14:textId="77777777" w:rsidTr="00A01EF6">
        <w:trPr>
          <w:trHeight w:val="2757"/>
        </w:trPr>
        <w:tc>
          <w:tcPr>
            <w:tcW w:w="4675" w:type="dxa"/>
          </w:tcPr>
          <w:p w14:paraId="645BC484" w14:textId="7D0B05E8" w:rsidR="00A01EF6" w:rsidRDefault="00A01EF6" w:rsidP="00BA4555">
            <w:r>
              <w:rPr>
                <w:noProof/>
              </w:rPr>
              <w:drawing>
                <wp:inline distT="0" distB="0" distL="0" distR="0" wp14:anchorId="2AEE7D49" wp14:editId="67B00BE9">
                  <wp:extent cx="2994660" cy="2141220"/>
                  <wp:effectExtent l="0" t="0" r="0" b="0"/>
                  <wp:docPr id="2566787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78703" name="Picture 256678703"/>
                          <pic:cNvPicPr/>
                        </pic:nvPicPr>
                        <pic:blipFill>
                          <a:blip r:embed="rId16">
                            <a:extLst>
                              <a:ext uri="{28A0092B-C50C-407E-A947-70E740481C1C}">
                                <a14:useLocalDpi xmlns:a14="http://schemas.microsoft.com/office/drawing/2010/main" val="0"/>
                              </a:ext>
                            </a:extLst>
                          </a:blip>
                          <a:stretch>
                            <a:fillRect/>
                          </a:stretch>
                        </pic:blipFill>
                        <pic:spPr>
                          <a:xfrm>
                            <a:off x="0" y="0"/>
                            <a:ext cx="2994927" cy="2141411"/>
                          </a:xfrm>
                          <a:prstGeom prst="rect">
                            <a:avLst/>
                          </a:prstGeom>
                        </pic:spPr>
                      </pic:pic>
                    </a:graphicData>
                  </a:graphic>
                </wp:inline>
              </w:drawing>
            </w:r>
          </w:p>
        </w:tc>
        <w:tc>
          <w:tcPr>
            <w:tcW w:w="4675" w:type="dxa"/>
          </w:tcPr>
          <w:p w14:paraId="2F8EEEBF" w14:textId="37F85546" w:rsidR="00A01EF6" w:rsidRDefault="00A01EF6" w:rsidP="00BA4555">
            <w:r>
              <w:rPr>
                <w:noProof/>
              </w:rPr>
              <w:drawing>
                <wp:inline distT="0" distB="0" distL="0" distR="0" wp14:anchorId="4CEC2756" wp14:editId="7B95EBF7">
                  <wp:extent cx="2796540" cy="2118360"/>
                  <wp:effectExtent l="0" t="0" r="3810" b="0"/>
                  <wp:docPr id="5564379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37913" name="Picture 556437913"/>
                          <pic:cNvPicPr/>
                        </pic:nvPicPr>
                        <pic:blipFill>
                          <a:blip r:embed="rId17">
                            <a:extLst>
                              <a:ext uri="{28A0092B-C50C-407E-A947-70E740481C1C}">
                                <a14:useLocalDpi xmlns:a14="http://schemas.microsoft.com/office/drawing/2010/main" val="0"/>
                              </a:ext>
                            </a:extLst>
                          </a:blip>
                          <a:stretch>
                            <a:fillRect/>
                          </a:stretch>
                        </pic:blipFill>
                        <pic:spPr>
                          <a:xfrm>
                            <a:off x="0" y="0"/>
                            <a:ext cx="2796540" cy="2118360"/>
                          </a:xfrm>
                          <a:prstGeom prst="rect">
                            <a:avLst/>
                          </a:prstGeom>
                        </pic:spPr>
                      </pic:pic>
                    </a:graphicData>
                  </a:graphic>
                </wp:inline>
              </w:drawing>
            </w:r>
          </w:p>
        </w:tc>
      </w:tr>
    </w:tbl>
    <w:p w14:paraId="70A488EE" w14:textId="216DB800" w:rsidR="00A01EF6" w:rsidRDefault="00A01EF6" w:rsidP="00BA4555">
      <w:pPr>
        <w:spacing w:after="0"/>
        <w:jc w:val="center"/>
        <w:rPr>
          <w:b/>
          <w:bCs/>
        </w:rPr>
      </w:pPr>
      <w:r w:rsidRPr="00A01EF6">
        <w:rPr>
          <w:b/>
          <w:bCs/>
        </w:rPr>
        <w:t xml:space="preserve">Figure </w:t>
      </w:r>
      <w:r w:rsidR="009334A0">
        <w:rPr>
          <w:b/>
          <w:bCs/>
        </w:rPr>
        <w:t>5</w:t>
      </w:r>
      <w:r w:rsidRPr="00A01EF6">
        <w:rPr>
          <w:b/>
          <w:bCs/>
        </w:rPr>
        <w:t>:</w:t>
      </w:r>
      <w:r w:rsidR="00BA4555">
        <w:rPr>
          <w:b/>
          <w:bCs/>
        </w:rPr>
        <w:t xml:space="preserve"> </w:t>
      </w:r>
      <w:r w:rsidR="009334A0">
        <w:rPr>
          <w:b/>
          <w:bCs/>
        </w:rPr>
        <w:t xml:space="preserve">Prediction </w:t>
      </w:r>
      <w:r w:rsidRPr="00A01EF6">
        <w:rPr>
          <w:b/>
          <w:bCs/>
        </w:rPr>
        <w:t>LSTM &amp; GRU for JJ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4878"/>
      </w:tblGrid>
      <w:tr w:rsidR="00150B60" w14:paraId="590D4E32" w14:textId="77777777" w:rsidTr="00A01EF6">
        <w:trPr>
          <w:trHeight w:val="2996"/>
        </w:trPr>
        <w:tc>
          <w:tcPr>
            <w:tcW w:w="4675" w:type="dxa"/>
          </w:tcPr>
          <w:p w14:paraId="4DB3291C" w14:textId="39F7C13A" w:rsidR="00A01EF6" w:rsidRDefault="00A01EF6" w:rsidP="00BA4555">
            <w:pPr>
              <w:rPr>
                <w:b/>
                <w:bCs/>
              </w:rPr>
            </w:pPr>
            <w:r>
              <w:rPr>
                <w:b/>
                <w:bCs/>
                <w:noProof/>
              </w:rPr>
              <w:drawing>
                <wp:inline distT="0" distB="0" distL="0" distR="0" wp14:anchorId="70BC9613" wp14:editId="70DA94DB">
                  <wp:extent cx="2788920" cy="2552700"/>
                  <wp:effectExtent l="0" t="0" r="0" b="0"/>
                  <wp:docPr id="4353592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59238" name="Picture 435359238"/>
                          <pic:cNvPicPr/>
                        </pic:nvPicPr>
                        <pic:blipFill>
                          <a:blip r:embed="rId18">
                            <a:extLst>
                              <a:ext uri="{28A0092B-C50C-407E-A947-70E740481C1C}">
                                <a14:useLocalDpi xmlns:a14="http://schemas.microsoft.com/office/drawing/2010/main" val="0"/>
                              </a:ext>
                            </a:extLst>
                          </a:blip>
                          <a:stretch>
                            <a:fillRect/>
                          </a:stretch>
                        </pic:blipFill>
                        <pic:spPr>
                          <a:xfrm>
                            <a:off x="0" y="0"/>
                            <a:ext cx="2789178" cy="2552936"/>
                          </a:xfrm>
                          <a:prstGeom prst="rect">
                            <a:avLst/>
                          </a:prstGeom>
                        </pic:spPr>
                      </pic:pic>
                    </a:graphicData>
                  </a:graphic>
                </wp:inline>
              </w:drawing>
            </w:r>
          </w:p>
        </w:tc>
        <w:tc>
          <w:tcPr>
            <w:tcW w:w="4675" w:type="dxa"/>
          </w:tcPr>
          <w:p w14:paraId="6D3D059D" w14:textId="34A5097D" w:rsidR="00A01EF6" w:rsidRDefault="00A01EF6" w:rsidP="00BA4555">
            <w:pPr>
              <w:rPr>
                <w:b/>
                <w:bCs/>
              </w:rPr>
            </w:pPr>
            <w:r>
              <w:rPr>
                <w:b/>
                <w:bCs/>
                <w:noProof/>
              </w:rPr>
              <w:drawing>
                <wp:inline distT="0" distB="0" distL="0" distR="0" wp14:anchorId="3A69DA8D" wp14:editId="138A2CB4">
                  <wp:extent cx="3048000" cy="2491740"/>
                  <wp:effectExtent l="0" t="0" r="0" b="3810"/>
                  <wp:docPr id="15397872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87295" name="Picture 1539787295"/>
                          <pic:cNvPicPr/>
                        </pic:nvPicPr>
                        <pic:blipFill>
                          <a:blip r:embed="rId19">
                            <a:extLst>
                              <a:ext uri="{28A0092B-C50C-407E-A947-70E740481C1C}">
                                <a14:useLocalDpi xmlns:a14="http://schemas.microsoft.com/office/drawing/2010/main" val="0"/>
                              </a:ext>
                            </a:extLst>
                          </a:blip>
                          <a:stretch>
                            <a:fillRect/>
                          </a:stretch>
                        </pic:blipFill>
                        <pic:spPr>
                          <a:xfrm>
                            <a:off x="0" y="0"/>
                            <a:ext cx="3048272" cy="2491962"/>
                          </a:xfrm>
                          <a:prstGeom prst="rect">
                            <a:avLst/>
                          </a:prstGeom>
                        </pic:spPr>
                      </pic:pic>
                    </a:graphicData>
                  </a:graphic>
                </wp:inline>
              </w:drawing>
            </w:r>
          </w:p>
        </w:tc>
      </w:tr>
    </w:tbl>
    <w:p w14:paraId="02EAF6B4" w14:textId="48952C83" w:rsidR="00A01EF6" w:rsidRDefault="00A01EF6" w:rsidP="00BA4555">
      <w:pPr>
        <w:spacing w:after="0"/>
        <w:jc w:val="center"/>
        <w:rPr>
          <w:b/>
          <w:bCs/>
        </w:rPr>
      </w:pPr>
      <w:r>
        <w:rPr>
          <w:b/>
          <w:bCs/>
        </w:rPr>
        <w:t>Figure 8:</w:t>
      </w:r>
      <w:r w:rsidR="009334A0">
        <w:rPr>
          <w:b/>
          <w:bCs/>
        </w:rPr>
        <w:t xml:space="preserve"> Prediction</w:t>
      </w:r>
      <w:r>
        <w:rPr>
          <w:b/>
          <w:bCs/>
        </w:rPr>
        <w:t xml:space="preserve"> LSTM &amp;GRU for AMZN</w:t>
      </w:r>
    </w:p>
    <w:p w14:paraId="3C35DABA" w14:textId="77777777" w:rsidR="00FE6523" w:rsidRPr="00A01EF6" w:rsidRDefault="00FE6523" w:rsidP="00BA4555">
      <w:pPr>
        <w:spacing w:after="0"/>
        <w:jc w:val="center"/>
        <w:rPr>
          <w:b/>
          <w:bCs/>
        </w:rPr>
      </w:pPr>
    </w:p>
    <w:p w14:paraId="7EC37B23" w14:textId="77777777" w:rsidR="006479D4" w:rsidRPr="006479D4" w:rsidRDefault="006479D4" w:rsidP="00BA4555">
      <w:pPr>
        <w:numPr>
          <w:ilvl w:val="0"/>
          <w:numId w:val="16"/>
        </w:numPr>
        <w:spacing w:after="0"/>
      </w:pPr>
      <w:r w:rsidRPr="006479D4">
        <w:rPr>
          <w:b/>
          <w:bCs/>
        </w:rPr>
        <w:t>Bar Chart of Evaluation Metrics</w:t>
      </w:r>
      <w:r w:rsidRPr="006479D4">
        <w:t>:</w:t>
      </w:r>
    </w:p>
    <w:p w14:paraId="2C57EC6C" w14:textId="77777777" w:rsidR="006479D4" w:rsidRDefault="006479D4" w:rsidP="00BA4555">
      <w:pPr>
        <w:numPr>
          <w:ilvl w:val="1"/>
          <w:numId w:val="16"/>
        </w:numPr>
        <w:spacing w:after="0"/>
      </w:pPr>
      <w:r w:rsidRPr="006479D4">
        <w:t>Compare RMSE and MAE across ARMA, LSTM, and GRU.</w:t>
      </w:r>
    </w:p>
    <w:p w14:paraId="32A08C6E" w14:textId="77777777" w:rsidR="00FE6523" w:rsidRPr="006479D4" w:rsidRDefault="00FE6523" w:rsidP="00FE6523">
      <w:pPr>
        <w:spacing w:after="0"/>
        <w:ind w:left="1440"/>
      </w:pPr>
    </w:p>
    <w:p w14:paraId="412A5C8F" w14:textId="5B66F07C" w:rsidR="006479D4" w:rsidRPr="006479D4" w:rsidRDefault="006479D4" w:rsidP="00BA4555">
      <w:pPr>
        <w:spacing w:after="0"/>
        <w:rPr>
          <w:b/>
          <w:bCs/>
        </w:rPr>
      </w:pPr>
      <w:r w:rsidRPr="006479D4">
        <w:rPr>
          <w:b/>
          <w:bCs/>
        </w:rPr>
        <w:t>Discussion</w:t>
      </w:r>
      <w:r>
        <w:rPr>
          <w:b/>
          <w:bCs/>
        </w:rPr>
        <w:t>:</w:t>
      </w:r>
    </w:p>
    <w:p w14:paraId="112DB9C9" w14:textId="77777777" w:rsidR="006479D4" w:rsidRPr="006479D4" w:rsidRDefault="006479D4" w:rsidP="00BA4555">
      <w:pPr>
        <w:spacing w:after="0"/>
        <w:rPr>
          <w:b/>
          <w:bCs/>
        </w:rPr>
      </w:pPr>
      <w:r w:rsidRPr="006479D4">
        <w:rPr>
          <w:b/>
          <w:bCs/>
        </w:rPr>
        <w:t>Key Findings</w:t>
      </w:r>
    </w:p>
    <w:p w14:paraId="223D13B6" w14:textId="77777777" w:rsidR="006479D4" w:rsidRPr="006479D4" w:rsidRDefault="006479D4" w:rsidP="00BA4555">
      <w:pPr>
        <w:numPr>
          <w:ilvl w:val="0"/>
          <w:numId w:val="17"/>
        </w:numPr>
        <w:spacing w:after="0"/>
      </w:pPr>
      <w:r w:rsidRPr="006479D4">
        <w:t>ARMA models performed adequately for stationary, less complex data but struggled with non-linear patterns.</w:t>
      </w:r>
    </w:p>
    <w:p w14:paraId="1C29EFBB" w14:textId="77777777" w:rsidR="006479D4" w:rsidRPr="006479D4" w:rsidRDefault="006479D4" w:rsidP="00BA4555">
      <w:pPr>
        <w:numPr>
          <w:ilvl w:val="0"/>
          <w:numId w:val="17"/>
        </w:numPr>
        <w:spacing w:after="0"/>
      </w:pPr>
      <w:r w:rsidRPr="006479D4">
        <w:t>Neural networks, particularly LSTM and GRU, excelled in handling seasonality (Johnson &amp; Johnson) and volatility (Amazon).</w:t>
      </w:r>
    </w:p>
    <w:p w14:paraId="0FDE9EC5" w14:textId="77777777" w:rsidR="006479D4" w:rsidRPr="006479D4" w:rsidRDefault="006479D4" w:rsidP="00BA4555">
      <w:pPr>
        <w:spacing w:after="0"/>
        <w:rPr>
          <w:b/>
          <w:bCs/>
        </w:rPr>
      </w:pPr>
      <w:r w:rsidRPr="006479D4">
        <w:rPr>
          <w:b/>
          <w:bCs/>
        </w:rPr>
        <w:t>Implications</w:t>
      </w:r>
    </w:p>
    <w:p w14:paraId="6A7DAA21" w14:textId="77777777" w:rsidR="006479D4" w:rsidRPr="006479D4" w:rsidRDefault="006479D4" w:rsidP="00BA4555">
      <w:pPr>
        <w:numPr>
          <w:ilvl w:val="0"/>
          <w:numId w:val="18"/>
        </w:numPr>
        <w:spacing w:after="0"/>
      </w:pPr>
      <w:r w:rsidRPr="006479D4">
        <w:t>For business applications like inventory planning, neural network forecasts offer better accuracy.</w:t>
      </w:r>
    </w:p>
    <w:p w14:paraId="60D0BE83" w14:textId="6F5F4315" w:rsidR="006479D4" w:rsidRDefault="006479D4" w:rsidP="00BA4555">
      <w:pPr>
        <w:numPr>
          <w:ilvl w:val="0"/>
          <w:numId w:val="18"/>
        </w:numPr>
        <w:spacing w:after="0"/>
      </w:pPr>
      <w:r w:rsidRPr="006479D4">
        <w:lastRenderedPageBreak/>
        <w:t>In financial contexts, GRU's handling of noisy data makes it ideal for stock price predictions.</w:t>
      </w:r>
    </w:p>
    <w:p w14:paraId="08F2AD22" w14:textId="77777777" w:rsidR="00FE6523" w:rsidRPr="00566C25" w:rsidRDefault="00FE6523" w:rsidP="00FE6523">
      <w:pPr>
        <w:spacing w:after="0"/>
        <w:ind w:left="720"/>
      </w:pPr>
    </w:p>
    <w:p w14:paraId="4673B27C" w14:textId="4329A4CC" w:rsidR="006479D4" w:rsidRPr="006479D4" w:rsidRDefault="006479D4" w:rsidP="00BA4555">
      <w:pPr>
        <w:spacing w:after="0"/>
        <w:rPr>
          <w:b/>
          <w:bCs/>
        </w:rPr>
      </w:pPr>
      <w:r w:rsidRPr="006479D4">
        <w:rPr>
          <w:b/>
          <w:bCs/>
        </w:rPr>
        <w:t>Conclusion</w:t>
      </w:r>
      <w:r>
        <w:rPr>
          <w:b/>
          <w:bCs/>
        </w:rPr>
        <w:t>:</w:t>
      </w:r>
    </w:p>
    <w:p w14:paraId="5F932AF1" w14:textId="77777777" w:rsidR="006479D4" w:rsidRDefault="006479D4" w:rsidP="00BA4555">
      <w:pPr>
        <w:spacing w:after="0"/>
      </w:pPr>
      <w:r w:rsidRPr="006479D4">
        <w:t>This study highlights the importance of matching forecasting methods to dataset characteristics. While ARMA provides a robust baseline, neural networks offer superior performance for complex datasets with trends, seasonality, or volatility.</w:t>
      </w:r>
    </w:p>
    <w:p w14:paraId="0D7FDB03" w14:textId="77777777" w:rsidR="00FE6523" w:rsidRPr="006479D4" w:rsidRDefault="00FE6523" w:rsidP="00BA4555">
      <w:pPr>
        <w:spacing w:after="0"/>
      </w:pPr>
    </w:p>
    <w:p w14:paraId="2BE34EF8" w14:textId="7D01B15E" w:rsidR="006479D4" w:rsidRPr="006479D4" w:rsidRDefault="006479D4" w:rsidP="00BA4555">
      <w:pPr>
        <w:spacing w:after="0"/>
        <w:rPr>
          <w:b/>
          <w:bCs/>
        </w:rPr>
      </w:pPr>
      <w:r w:rsidRPr="006479D4">
        <w:rPr>
          <w:b/>
          <w:bCs/>
        </w:rPr>
        <w:t>Recommendations</w:t>
      </w:r>
      <w:r w:rsidR="00FE6523">
        <w:rPr>
          <w:b/>
          <w:bCs/>
        </w:rPr>
        <w:t>:</w:t>
      </w:r>
    </w:p>
    <w:p w14:paraId="4A595DC1" w14:textId="77777777" w:rsidR="006479D4" w:rsidRPr="006479D4" w:rsidRDefault="006479D4" w:rsidP="00BA4555">
      <w:pPr>
        <w:numPr>
          <w:ilvl w:val="0"/>
          <w:numId w:val="19"/>
        </w:numPr>
        <w:spacing w:after="0"/>
      </w:pPr>
      <w:r w:rsidRPr="006479D4">
        <w:t>Businesses should leverage machine learning models for more reliable long-term forecasts.</w:t>
      </w:r>
    </w:p>
    <w:p w14:paraId="616E90E6" w14:textId="77777777" w:rsidR="006479D4" w:rsidRDefault="006479D4" w:rsidP="00BA4555">
      <w:pPr>
        <w:numPr>
          <w:ilvl w:val="0"/>
          <w:numId w:val="19"/>
        </w:numPr>
        <w:spacing w:after="0"/>
      </w:pPr>
      <w:r w:rsidRPr="006479D4">
        <w:t>Further research can explore hybrid models combining statistical and neural network techniques.</w:t>
      </w:r>
    </w:p>
    <w:p w14:paraId="6F8F6D54" w14:textId="77777777" w:rsidR="00FE6523" w:rsidRPr="006479D4" w:rsidRDefault="00FE6523" w:rsidP="00FE6523">
      <w:pPr>
        <w:spacing w:after="0"/>
        <w:ind w:left="720"/>
      </w:pPr>
    </w:p>
    <w:p w14:paraId="2FC45812" w14:textId="77777777" w:rsidR="00F639DD" w:rsidRDefault="006479D4" w:rsidP="00F639DD">
      <w:pPr>
        <w:spacing w:after="0"/>
        <w:rPr>
          <w:b/>
          <w:bCs/>
        </w:rPr>
      </w:pPr>
      <w:r w:rsidRPr="006479D4">
        <w:rPr>
          <w:b/>
          <w:bCs/>
        </w:rPr>
        <w:t>References</w:t>
      </w:r>
      <w:r w:rsidR="00FE6523">
        <w:rPr>
          <w:b/>
          <w:bCs/>
        </w:rPr>
        <w:t>:</w:t>
      </w:r>
    </w:p>
    <w:p w14:paraId="110C0C16" w14:textId="4EC3D724" w:rsidR="00F639DD" w:rsidRPr="00F639DD" w:rsidRDefault="00F639DD" w:rsidP="00F639DD">
      <w:pPr>
        <w:pStyle w:val="ListParagraph"/>
        <w:numPr>
          <w:ilvl w:val="0"/>
          <w:numId w:val="19"/>
        </w:numPr>
        <w:spacing w:after="0"/>
        <w:rPr>
          <w:b/>
          <w:bCs/>
        </w:rPr>
      </w:pPr>
      <w:r>
        <w:t xml:space="preserve">Box, G.E.P., Jenkins, G.M., &amp; Reinsel, G.C., 2015. </w:t>
      </w:r>
      <w:r>
        <w:rPr>
          <w:rStyle w:val="Emphasis"/>
        </w:rPr>
        <w:t>Time Series Analysis: Forecasting and Control</w:t>
      </w:r>
      <w:r>
        <w:t xml:space="preserve">. Wiley. Available at: </w:t>
      </w:r>
      <w:hyperlink r:id="rId20" w:history="1">
        <w:r w:rsidR="00B61BC4" w:rsidRPr="009F4FA4">
          <w:rPr>
            <w:rStyle w:val="Hyperlink"/>
          </w:rPr>
          <w:t>https://onlinelibrary.wiley.com/doi/book/10.1002/9781118619193</w:t>
        </w:r>
      </w:hyperlink>
      <w:r>
        <w:t xml:space="preserve"> [Accessed 10 April 2025].</w:t>
      </w:r>
    </w:p>
    <w:p w14:paraId="16385D0B" w14:textId="1C0CD071" w:rsidR="00F639DD" w:rsidRDefault="00F639DD" w:rsidP="00F639DD">
      <w:pPr>
        <w:pStyle w:val="ListParagraph"/>
        <w:numPr>
          <w:ilvl w:val="0"/>
          <w:numId w:val="20"/>
        </w:numPr>
        <w:spacing w:before="100" w:beforeAutospacing="1" w:after="100" w:afterAutospacing="1"/>
      </w:pPr>
      <w:r>
        <w:t xml:space="preserve"> Hochreiter, S. &amp; </w:t>
      </w:r>
      <w:proofErr w:type="spellStart"/>
      <w:r>
        <w:t>Schmidhuber</w:t>
      </w:r>
      <w:proofErr w:type="spellEnd"/>
      <w:r>
        <w:t xml:space="preserve">, J., 1997. Long short-term memory. </w:t>
      </w:r>
      <w:r>
        <w:rPr>
          <w:rStyle w:val="Emphasis"/>
        </w:rPr>
        <w:t>Neural Computation</w:t>
      </w:r>
      <w:r>
        <w:t xml:space="preserve">, 9(8), pp.1735–1780. Available at: </w:t>
      </w:r>
      <w:hyperlink r:id="rId21" w:history="1">
        <w:r w:rsidRPr="009F4FA4">
          <w:rPr>
            <w:rStyle w:val="Hyperlink"/>
          </w:rPr>
          <w:t>https://doi.org/10.1162/neco.1997.9.8.1735</w:t>
        </w:r>
      </w:hyperlink>
      <w:r>
        <w:t xml:space="preserve"> [Accessed 10 April 2025].</w:t>
      </w:r>
    </w:p>
    <w:p w14:paraId="61D461E2" w14:textId="77777777" w:rsidR="006479D4" w:rsidRPr="006479D4" w:rsidRDefault="006479D4" w:rsidP="00BA4555">
      <w:pPr>
        <w:numPr>
          <w:ilvl w:val="0"/>
          <w:numId w:val="20"/>
        </w:numPr>
        <w:spacing w:after="0"/>
      </w:pPr>
      <w:r w:rsidRPr="006479D4">
        <w:t>Supplemental materials and lecture notes.</w:t>
      </w:r>
    </w:p>
    <w:p w14:paraId="77964698" w14:textId="77777777" w:rsidR="006479D4" w:rsidRPr="006479D4" w:rsidRDefault="006479D4" w:rsidP="00BA4555">
      <w:pPr>
        <w:spacing w:after="0"/>
      </w:pPr>
    </w:p>
    <w:p w14:paraId="60B0CCA6" w14:textId="77777777" w:rsidR="006479D4" w:rsidRPr="00B4684D" w:rsidRDefault="006479D4" w:rsidP="00BA4555">
      <w:pPr>
        <w:spacing w:after="0"/>
      </w:pPr>
    </w:p>
    <w:sectPr w:rsidR="006479D4" w:rsidRPr="00B468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C237E" w14:textId="77777777" w:rsidR="00E26C27" w:rsidRDefault="00E26C27" w:rsidP="00066DE1">
      <w:pPr>
        <w:spacing w:after="0" w:line="240" w:lineRule="auto"/>
      </w:pPr>
      <w:r>
        <w:separator/>
      </w:r>
    </w:p>
  </w:endnote>
  <w:endnote w:type="continuationSeparator" w:id="0">
    <w:p w14:paraId="5EAE7711" w14:textId="77777777" w:rsidR="00E26C27" w:rsidRDefault="00E26C27" w:rsidP="0006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03DF6" w14:textId="77777777" w:rsidR="00E26C27" w:rsidRDefault="00E26C27" w:rsidP="00066DE1">
      <w:pPr>
        <w:spacing w:after="0" w:line="240" w:lineRule="auto"/>
      </w:pPr>
      <w:r>
        <w:separator/>
      </w:r>
    </w:p>
  </w:footnote>
  <w:footnote w:type="continuationSeparator" w:id="0">
    <w:p w14:paraId="38523AD6" w14:textId="77777777" w:rsidR="00E26C27" w:rsidRDefault="00E26C27" w:rsidP="00066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11BC"/>
    <w:multiLevelType w:val="multilevel"/>
    <w:tmpl w:val="0978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26409"/>
    <w:multiLevelType w:val="multilevel"/>
    <w:tmpl w:val="CE04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67633"/>
    <w:multiLevelType w:val="multilevel"/>
    <w:tmpl w:val="A6E6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84E57"/>
    <w:multiLevelType w:val="multilevel"/>
    <w:tmpl w:val="6B668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B2008"/>
    <w:multiLevelType w:val="multilevel"/>
    <w:tmpl w:val="0AC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C4D1C"/>
    <w:multiLevelType w:val="multilevel"/>
    <w:tmpl w:val="D97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50A00"/>
    <w:multiLevelType w:val="multilevel"/>
    <w:tmpl w:val="BB4CF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7467D"/>
    <w:multiLevelType w:val="multilevel"/>
    <w:tmpl w:val="CD5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A2562"/>
    <w:multiLevelType w:val="multilevel"/>
    <w:tmpl w:val="95509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240F8"/>
    <w:multiLevelType w:val="multilevel"/>
    <w:tmpl w:val="56080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C4B70"/>
    <w:multiLevelType w:val="multilevel"/>
    <w:tmpl w:val="95149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6C628C"/>
    <w:multiLevelType w:val="multilevel"/>
    <w:tmpl w:val="C606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425BD"/>
    <w:multiLevelType w:val="multilevel"/>
    <w:tmpl w:val="0C26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D36EF"/>
    <w:multiLevelType w:val="multilevel"/>
    <w:tmpl w:val="3DA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F03C9"/>
    <w:multiLevelType w:val="multilevel"/>
    <w:tmpl w:val="D28C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66F43"/>
    <w:multiLevelType w:val="multilevel"/>
    <w:tmpl w:val="73BC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7B3A16"/>
    <w:multiLevelType w:val="multilevel"/>
    <w:tmpl w:val="580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E38B5"/>
    <w:multiLevelType w:val="multilevel"/>
    <w:tmpl w:val="86BC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0586F"/>
    <w:multiLevelType w:val="multilevel"/>
    <w:tmpl w:val="D4B2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A391A"/>
    <w:multiLevelType w:val="multilevel"/>
    <w:tmpl w:val="C93A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533273">
    <w:abstractNumId w:val="12"/>
  </w:num>
  <w:num w:numId="2" w16cid:durableId="355010281">
    <w:abstractNumId w:val="0"/>
  </w:num>
  <w:num w:numId="3" w16cid:durableId="1127965527">
    <w:abstractNumId w:val="18"/>
  </w:num>
  <w:num w:numId="4" w16cid:durableId="1433210248">
    <w:abstractNumId w:val="13"/>
  </w:num>
  <w:num w:numId="5" w16cid:durableId="1714648573">
    <w:abstractNumId w:val="10"/>
  </w:num>
  <w:num w:numId="6" w16cid:durableId="548496465">
    <w:abstractNumId w:val="11"/>
  </w:num>
  <w:num w:numId="7" w16cid:durableId="245918356">
    <w:abstractNumId w:val="8"/>
  </w:num>
  <w:num w:numId="8" w16cid:durableId="1677728660">
    <w:abstractNumId w:val="15"/>
  </w:num>
  <w:num w:numId="9" w16cid:durableId="875695402">
    <w:abstractNumId w:val="4"/>
  </w:num>
  <w:num w:numId="10" w16cid:durableId="92089963">
    <w:abstractNumId w:val="6"/>
  </w:num>
  <w:num w:numId="11" w16cid:durableId="1033117832">
    <w:abstractNumId w:val="1"/>
  </w:num>
  <w:num w:numId="12" w16cid:durableId="1606765551">
    <w:abstractNumId w:val="5"/>
  </w:num>
  <w:num w:numId="13" w16cid:durableId="565918902">
    <w:abstractNumId w:val="9"/>
  </w:num>
  <w:num w:numId="14" w16cid:durableId="1395423291">
    <w:abstractNumId w:val="7"/>
  </w:num>
  <w:num w:numId="15" w16cid:durableId="968433401">
    <w:abstractNumId w:val="2"/>
  </w:num>
  <w:num w:numId="16" w16cid:durableId="914555663">
    <w:abstractNumId w:val="3"/>
  </w:num>
  <w:num w:numId="17" w16cid:durableId="1022783091">
    <w:abstractNumId w:val="19"/>
  </w:num>
  <w:num w:numId="18" w16cid:durableId="1977101650">
    <w:abstractNumId w:val="16"/>
  </w:num>
  <w:num w:numId="19" w16cid:durableId="1943955517">
    <w:abstractNumId w:val="17"/>
  </w:num>
  <w:num w:numId="20" w16cid:durableId="20950823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4D"/>
    <w:rsid w:val="00022CF6"/>
    <w:rsid w:val="00066DE1"/>
    <w:rsid w:val="001350D2"/>
    <w:rsid w:val="00150B60"/>
    <w:rsid w:val="00176059"/>
    <w:rsid w:val="00271594"/>
    <w:rsid w:val="0037212E"/>
    <w:rsid w:val="00440CA2"/>
    <w:rsid w:val="004A31D0"/>
    <w:rsid w:val="004D28FE"/>
    <w:rsid w:val="00566C25"/>
    <w:rsid w:val="00585AA4"/>
    <w:rsid w:val="006479D4"/>
    <w:rsid w:val="006733F6"/>
    <w:rsid w:val="0067687D"/>
    <w:rsid w:val="008C4B19"/>
    <w:rsid w:val="009334A0"/>
    <w:rsid w:val="009D5346"/>
    <w:rsid w:val="00A01EF6"/>
    <w:rsid w:val="00B4684D"/>
    <w:rsid w:val="00B61BC4"/>
    <w:rsid w:val="00BA4555"/>
    <w:rsid w:val="00E26C27"/>
    <w:rsid w:val="00E47C73"/>
    <w:rsid w:val="00E518DD"/>
    <w:rsid w:val="00F4767A"/>
    <w:rsid w:val="00F639DD"/>
    <w:rsid w:val="00FE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2AC3"/>
  <w15:chartTrackingRefBased/>
  <w15:docId w15:val="{961AAFD7-C555-4BAD-8868-67F81EEC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6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6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6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6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6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6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6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6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84D"/>
    <w:rPr>
      <w:rFonts w:eastAsiaTheme="majorEastAsia" w:cstheme="majorBidi"/>
      <w:color w:val="272727" w:themeColor="text1" w:themeTint="D8"/>
    </w:rPr>
  </w:style>
  <w:style w:type="paragraph" w:styleId="Title">
    <w:name w:val="Title"/>
    <w:basedOn w:val="Normal"/>
    <w:next w:val="Normal"/>
    <w:link w:val="TitleChar"/>
    <w:uiPriority w:val="10"/>
    <w:qFormat/>
    <w:rsid w:val="00B4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84D"/>
    <w:pPr>
      <w:spacing w:before="160"/>
      <w:jc w:val="center"/>
    </w:pPr>
    <w:rPr>
      <w:i/>
      <w:iCs/>
      <w:color w:val="404040" w:themeColor="text1" w:themeTint="BF"/>
    </w:rPr>
  </w:style>
  <w:style w:type="character" w:customStyle="1" w:styleId="QuoteChar">
    <w:name w:val="Quote Char"/>
    <w:basedOn w:val="DefaultParagraphFont"/>
    <w:link w:val="Quote"/>
    <w:uiPriority w:val="29"/>
    <w:rsid w:val="00B4684D"/>
    <w:rPr>
      <w:i/>
      <w:iCs/>
      <w:color w:val="404040" w:themeColor="text1" w:themeTint="BF"/>
    </w:rPr>
  </w:style>
  <w:style w:type="paragraph" w:styleId="ListParagraph">
    <w:name w:val="List Paragraph"/>
    <w:basedOn w:val="Normal"/>
    <w:uiPriority w:val="34"/>
    <w:qFormat/>
    <w:rsid w:val="00B4684D"/>
    <w:pPr>
      <w:ind w:left="720"/>
      <w:contextualSpacing/>
    </w:pPr>
  </w:style>
  <w:style w:type="character" w:styleId="IntenseEmphasis">
    <w:name w:val="Intense Emphasis"/>
    <w:basedOn w:val="DefaultParagraphFont"/>
    <w:uiPriority w:val="21"/>
    <w:qFormat/>
    <w:rsid w:val="00B4684D"/>
    <w:rPr>
      <w:i/>
      <w:iCs/>
      <w:color w:val="2F5496" w:themeColor="accent1" w:themeShade="BF"/>
    </w:rPr>
  </w:style>
  <w:style w:type="paragraph" w:styleId="IntenseQuote">
    <w:name w:val="Intense Quote"/>
    <w:basedOn w:val="Normal"/>
    <w:next w:val="Normal"/>
    <w:link w:val="IntenseQuoteChar"/>
    <w:uiPriority w:val="30"/>
    <w:qFormat/>
    <w:rsid w:val="00B4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684D"/>
    <w:rPr>
      <w:i/>
      <w:iCs/>
      <w:color w:val="2F5496" w:themeColor="accent1" w:themeShade="BF"/>
    </w:rPr>
  </w:style>
  <w:style w:type="character" w:styleId="IntenseReference">
    <w:name w:val="Intense Reference"/>
    <w:basedOn w:val="DefaultParagraphFont"/>
    <w:uiPriority w:val="32"/>
    <w:qFormat/>
    <w:rsid w:val="00B4684D"/>
    <w:rPr>
      <w:b/>
      <w:bCs/>
      <w:smallCaps/>
      <w:color w:val="2F5496" w:themeColor="accent1" w:themeShade="BF"/>
      <w:spacing w:val="5"/>
    </w:rPr>
  </w:style>
  <w:style w:type="table" w:styleId="TableGrid">
    <w:name w:val="Table Grid"/>
    <w:basedOn w:val="TableNormal"/>
    <w:uiPriority w:val="39"/>
    <w:rsid w:val="00B4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E1"/>
  </w:style>
  <w:style w:type="paragraph" w:styleId="Footer">
    <w:name w:val="footer"/>
    <w:basedOn w:val="Normal"/>
    <w:link w:val="FooterChar"/>
    <w:uiPriority w:val="99"/>
    <w:unhideWhenUsed/>
    <w:rsid w:val="00066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E1"/>
  </w:style>
  <w:style w:type="character" w:styleId="Hyperlink">
    <w:name w:val="Hyperlink"/>
    <w:basedOn w:val="DefaultParagraphFont"/>
    <w:uiPriority w:val="99"/>
    <w:unhideWhenUsed/>
    <w:rsid w:val="00FE6523"/>
    <w:rPr>
      <w:color w:val="0563C1" w:themeColor="hyperlink"/>
      <w:u w:val="single"/>
    </w:rPr>
  </w:style>
  <w:style w:type="character" w:styleId="UnresolvedMention">
    <w:name w:val="Unresolved Mention"/>
    <w:basedOn w:val="DefaultParagraphFont"/>
    <w:uiPriority w:val="99"/>
    <w:semiHidden/>
    <w:unhideWhenUsed/>
    <w:rsid w:val="00FE6523"/>
    <w:rPr>
      <w:color w:val="605E5C"/>
      <w:shd w:val="clear" w:color="auto" w:fill="E1DFDD"/>
    </w:rPr>
  </w:style>
  <w:style w:type="character" w:styleId="FollowedHyperlink">
    <w:name w:val="FollowedHyperlink"/>
    <w:basedOn w:val="DefaultParagraphFont"/>
    <w:uiPriority w:val="99"/>
    <w:semiHidden/>
    <w:unhideWhenUsed/>
    <w:rsid w:val="00FE6523"/>
    <w:rPr>
      <w:color w:val="954F72" w:themeColor="followedHyperlink"/>
      <w:u w:val="single"/>
    </w:rPr>
  </w:style>
  <w:style w:type="character" w:styleId="Emphasis">
    <w:name w:val="Emphasis"/>
    <w:basedOn w:val="DefaultParagraphFont"/>
    <w:uiPriority w:val="20"/>
    <w:qFormat/>
    <w:rsid w:val="00F63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40418">
      <w:bodyDiv w:val="1"/>
      <w:marLeft w:val="0"/>
      <w:marRight w:val="0"/>
      <w:marTop w:val="0"/>
      <w:marBottom w:val="0"/>
      <w:divBdr>
        <w:top w:val="none" w:sz="0" w:space="0" w:color="auto"/>
        <w:left w:val="none" w:sz="0" w:space="0" w:color="auto"/>
        <w:bottom w:val="none" w:sz="0" w:space="0" w:color="auto"/>
        <w:right w:val="none" w:sz="0" w:space="0" w:color="auto"/>
      </w:divBdr>
    </w:div>
    <w:div w:id="141047249">
      <w:bodyDiv w:val="1"/>
      <w:marLeft w:val="0"/>
      <w:marRight w:val="0"/>
      <w:marTop w:val="0"/>
      <w:marBottom w:val="0"/>
      <w:divBdr>
        <w:top w:val="none" w:sz="0" w:space="0" w:color="auto"/>
        <w:left w:val="none" w:sz="0" w:space="0" w:color="auto"/>
        <w:bottom w:val="none" w:sz="0" w:space="0" w:color="auto"/>
        <w:right w:val="none" w:sz="0" w:space="0" w:color="auto"/>
      </w:divBdr>
    </w:div>
    <w:div w:id="187526862">
      <w:bodyDiv w:val="1"/>
      <w:marLeft w:val="0"/>
      <w:marRight w:val="0"/>
      <w:marTop w:val="0"/>
      <w:marBottom w:val="0"/>
      <w:divBdr>
        <w:top w:val="none" w:sz="0" w:space="0" w:color="auto"/>
        <w:left w:val="none" w:sz="0" w:space="0" w:color="auto"/>
        <w:bottom w:val="none" w:sz="0" w:space="0" w:color="auto"/>
        <w:right w:val="none" w:sz="0" w:space="0" w:color="auto"/>
      </w:divBdr>
    </w:div>
    <w:div w:id="231820791">
      <w:bodyDiv w:val="1"/>
      <w:marLeft w:val="0"/>
      <w:marRight w:val="0"/>
      <w:marTop w:val="0"/>
      <w:marBottom w:val="0"/>
      <w:divBdr>
        <w:top w:val="none" w:sz="0" w:space="0" w:color="auto"/>
        <w:left w:val="none" w:sz="0" w:space="0" w:color="auto"/>
        <w:bottom w:val="none" w:sz="0" w:space="0" w:color="auto"/>
        <w:right w:val="none" w:sz="0" w:space="0" w:color="auto"/>
      </w:divBdr>
    </w:div>
    <w:div w:id="240871146">
      <w:bodyDiv w:val="1"/>
      <w:marLeft w:val="0"/>
      <w:marRight w:val="0"/>
      <w:marTop w:val="0"/>
      <w:marBottom w:val="0"/>
      <w:divBdr>
        <w:top w:val="none" w:sz="0" w:space="0" w:color="auto"/>
        <w:left w:val="none" w:sz="0" w:space="0" w:color="auto"/>
        <w:bottom w:val="none" w:sz="0" w:space="0" w:color="auto"/>
        <w:right w:val="none" w:sz="0" w:space="0" w:color="auto"/>
      </w:divBdr>
    </w:div>
    <w:div w:id="246497408">
      <w:bodyDiv w:val="1"/>
      <w:marLeft w:val="0"/>
      <w:marRight w:val="0"/>
      <w:marTop w:val="0"/>
      <w:marBottom w:val="0"/>
      <w:divBdr>
        <w:top w:val="none" w:sz="0" w:space="0" w:color="auto"/>
        <w:left w:val="none" w:sz="0" w:space="0" w:color="auto"/>
        <w:bottom w:val="none" w:sz="0" w:space="0" w:color="auto"/>
        <w:right w:val="none" w:sz="0" w:space="0" w:color="auto"/>
      </w:divBdr>
    </w:div>
    <w:div w:id="268052657">
      <w:bodyDiv w:val="1"/>
      <w:marLeft w:val="0"/>
      <w:marRight w:val="0"/>
      <w:marTop w:val="0"/>
      <w:marBottom w:val="0"/>
      <w:divBdr>
        <w:top w:val="none" w:sz="0" w:space="0" w:color="auto"/>
        <w:left w:val="none" w:sz="0" w:space="0" w:color="auto"/>
        <w:bottom w:val="none" w:sz="0" w:space="0" w:color="auto"/>
        <w:right w:val="none" w:sz="0" w:space="0" w:color="auto"/>
      </w:divBdr>
    </w:div>
    <w:div w:id="520514643">
      <w:bodyDiv w:val="1"/>
      <w:marLeft w:val="0"/>
      <w:marRight w:val="0"/>
      <w:marTop w:val="0"/>
      <w:marBottom w:val="0"/>
      <w:divBdr>
        <w:top w:val="none" w:sz="0" w:space="0" w:color="auto"/>
        <w:left w:val="none" w:sz="0" w:space="0" w:color="auto"/>
        <w:bottom w:val="none" w:sz="0" w:space="0" w:color="auto"/>
        <w:right w:val="none" w:sz="0" w:space="0" w:color="auto"/>
      </w:divBdr>
    </w:div>
    <w:div w:id="653798887">
      <w:bodyDiv w:val="1"/>
      <w:marLeft w:val="0"/>
      <w:marRight w:val="0"/>
      <w:marTop w:val="0"/>
      <w:marBottom w:val="0"/>
      <w:divBdr>
        <w:top w:val="none" w:sz="0" w:space="0" w:color="auto"/>
        <w:left w:val="none" w:sz="0" w:space="0" w:color="auto"/>
        <w:bottom w:val="none" w:sz="0" w:space="0" w:color="auto"/>
        <w:right w:val="none" w:sz="0" w:space="0" w:color="auto"/>
      </w:divBdr>
    </w:div>
    <w:div w:id="803080539">
      <w:bodyDiv w:val="1"/>
      <w:marLeft w:val="0"/>
      <w:marRight w:val="0"/>
      <w:marTop w:val="0"/>
      <w:marBottom w:val="0"/>
      <w:divBdr>
        <w:top w:val="none" w:sz="0" w:space="0" w:color="auto"/>
        <w:left w:val="none" w:sz="0" w:space="0" w:color="auto"/>
        <w:bottom w:val="none" w:sz="0" w:space="0" w:color="auto"/>
        <w:right w:val="none" w:sz="0" w:space="0" w:color="auto"/>
      </w:divBdr>
    </w:div>
    <w:div w:id="997880932">
      <w:bodyDiv w:val="1"/>
      <w:marLeft w:val="0"/>
      <w:marRight w:val="0"/>
      <w:marTop w:val="0"/>
      <w:marBottom w:val="0"/>
      <w:divBdr>
        <w:top w:val="none" w:sz="0" w:space="0" w:color="auto"/>
        <w:left w:val="none" w:sz="0" w:space="0" w:color="auto"/>
        <w:bottom w:val="none" w:sz="0" w:space="0" w:color="auto"/>
        <w:right w:val="none" w:sz="0" w:space="0" w:color="auto"/>
      </w:divBdr>
    </w:div>
    <w:div w:id="1043595619">
      <w:bodyDiv w:val="1"/>
      <w:marLeft w:val="0"/>
      <w:marRight w:val="0"/>
      <w:marTop w:val="0"/>
      <w:marBottom w:val="0"/>
      <w:divBdr>
        <w:top w:val="none" w:sz="0" w:space="0" w:color="auto"/>
        <w:left w:val="none" w:sz="0" w:space="0" w:color="auto"/>
        <w:bottom w:val="none" w:sz="0" w:space="0" w:color="auto"/>
        <w:right w:val="none" w:sz="0" w:space="0" w:color="auto"/>
      </w:divBdr>
    </w:div>
    <w:div w:id="1068193179">
      <w:bodyDiv w:val="1"/>
      <w:marLeft w:val="0"/>
      <w:marRight w:val="0"/>
      <w:marTop w:val="0"/>
      <w:marBottom w:val="0"/>
      <w:divBdr>
        <w:top w:val="none" w:sz="0" w:space="0" w:color="auto"/>
        <w:left w:val="none" w:sz="0" w:space="0" w:color="auto"/>
        <w:bottom w:val="none" w:sz="0" w:space="0" w:color="auto"/>
        <w:right w:val="none" w:sz="0" w:space="0" w:color="auto"/>
      </w:divBdr>
    </w:div>
    <w:div w:id="1071077235">
      <w:bodyDiv w:val="1"/>
      <w:marLeft w:val="0"/>
      <w:marRight w:val="0"/>
      <w:marTop w:val="0"/>
      <w:marBottom w:val="0"/>
      <w:divBdr>
        <w:top w:val="none" w:sz="0" w:space="0" w:color="auto"/>
        <w:left w:val="none" w:sz="0" w:space="0" w:color="auto"/>
        <w:bottom w:val="none" w:sz="0" w:space="0" w:color="auto"/>
        <w:right w:val="none" w:sz="0" w:space="0" w:color="auto"/>
      </w:divBdr>
    </w:div>
    <w:div w:id="1129475564">
      <w:bodyDiv w:val="1"/>
      <w:marLeft w:val="0"/>
      <w:marRight w:val="0"/>
      <w:marTop w:val="0"/>
      <w:marBottom w:val="0"/>
      <w:divBdr>
        <w:top w:val="none" w:sz="0" w:space="0" w:color="auto"/>
        <w:left w:val="none" w:sz="0" w:space="0" w:color="auto"/>
        <w:bottom w:val="none" w:sz="0" w:space="0" w:color="auto"/>
        <w:right w:val="none" w:sz="0" w:space="0" w:color="auto"/>
      </w:divBdr>
    </w:div>
    <w:div w:id="1283465079">
      <w:bodyDiv w:val="1"/>
      <w:marLeft w:val="0"/>
      <w:marRight w:val="0"/>
      <w:marTop w:val="0"/>
      <w:marBottom w:val="0"/>
      <w:divBdr>
        <w:top w:val="none" w:sz="0" w:space="0" w:color="auto"/>
        <w:left w:val="none" w:sz="0" w:space="0" w:color="auto"/>
        <w:bottom w:val="none" w:sz="0" w:space="0" w:color="auto"/>
        <w:right w:val="none" w:sz="0" w:space="0" w:color="auto"/>
      </w:divBdr>
    </w:div>
    <w:div w:id="1307853258">
      <w:bodyDiv w:val="1"/>
      <w:marLeft w:val="0"/>
      <w:marRight w:val="0"/>
      <w:marTop w:val="0"/>
      <w:marBottom w:val="0"/>
      <w:divBdr>
        <w:top w:val="none" w:sz="0" w:space="0" w:color="auto"/>
        <w:left w:val="none" w:sz="0" w:space="0" w:color="auto"/>
        <w:bottom w:val="none" w:sz="0" w:space="0" w:color="auto"/>
        <w:right w:val="none" w:sz="0" w:space="0" w:color="auto"/>
      </w:divBdr>
    </w:div>
    <w:div w:id="1386485065">
      <w:bodyDiv w:val="1"/>
      <w:marLeft w:val="0"/>
      <w:marRight w:val="0"/>
      <w:marTop w:val="0"/>
      <w:marBottom w:val="0"/>
      <w:divBdr>
        <w:top w:val="none" w:sz="0" w:space="0" w:color="auto"/>
        <w:left w:val="none" w:sz="0" w:space="0" w:color="auto"/>
        <w:bottom w:val="none" w:sz="0" w:space="0" w:color="auto"/>
        <w:right w:val="none" w:sz="0" w:space="0" w:color="auto"/>
      </w:divBdr>
    </w:div>
    <w:div w:id="1510631782">
      <w:bodyDiv w:val="1"/>
      <w:marLeft w:val="0"/>
      <w:marRight w:val="0"/>
      <w:marTop w:val="0"/>
      <w:marBottom w:val="0"/>
      <w:divBdr>
        <w:top w:val="none" w:sz="0" w:space="0" w:color="auto"/>
        <w:left w:val="none" w:sz="0" w:space="0" w:color="auto"/>
        <w:bottom w:val="none" w:sz="0" w:space="0" w:color="auto"/>
        <w:right w:val="none" w:sz="0" w:space="0" w:color="auto"/>
      </w:divBdr>
    </w:div>
    <w:div w:id="1539274591">
      <w:bodyDiv w:val="1"/>
      <w:marLeft w:val="0"/>
      <w:marRight w:val="0"/>
      <w:marTop w:val="0"/>
      <w:marBottom w:val="0"/>
      <w:divBdr>
        <w:top w:val="none" w:sz="0" w:space="0" w:color="auto"/>
        <w:left w:val="none" w:sz="0" w:space="0" w:color="auto"/>
        <w:bottom w:val="none" w:sz="0" w:space="0" w:color="auto"/>
        <w:right w:val="none" w:sz="0" w:space="0" w:color="auto"/>
      </w:divBdr>
    </w:div>
    <w:div w:id="1649826023">
      <w:bodyDiv w:val="1"/>
      <w:marLeft w:val="0"/>
      <w:marRight w:val="0"/>
      <w:marTop w:val="0"/>
      <w:marBottom w:val="0"/>
      <w:divBdr>
        <w:top w:val="none" w:sz="0" w:space="0" w:color="auto"/>
        <w:left w:val="none" w:sz="0" w:space="0" w:color="auto"/>
        <w:bottom w:val="none" w:sz="0" w:space="0" w:color="auto"/>
        <w:right w:val="none" w:sz="0" w:space="0" w:color="auto"/>
      </w:divBdr>
    </w:div>
    <w:div w:id="1677801580">
      <w:bodyDiv w:val="1"/>
      <w:marLeft w:val="0"/>
      <w:marRight w:val="0"/>
      <w:marTop w:val="0"/>
      <w:marBottom w:val="0"/>
      <w:divBdr>
        <w:top w:val="none" w:sz="0" w:space="0" w:color="auto"/>
        <w:left w:val="none" w:sz="0" w:space="0" w:color="auto"/>
        <w:bottom w:val="none" w:sz="0" w:space="0" w:color="auto"/>
        <w:right w:val="none" w:sz="0" w:space="0" w:color="auto"/>
      </w:divBdr>
    </w:div>
    <w:div w:id="1682930561">
      <w:bodyDiv w:val="1"/>
      <w:marLeft w:val="0"/>
      <w:marRight w:val="0"/>
      <w:marTop w:val="0"/>
      <w:marBottom w:val="0"/>
      <w:divBdr>
        <w:top w:val="none" w:sz="0" w:space="0" w:color="auto"/>
        <w:left w:val="none" w:sz="0" w:space="0" w:color="auto"/>
        <w:bottom w:val="none" w:sz="0" w:space="0" w:color="auto"/>
        <w:right w:val="none" w:sz="0" w:space="0" w:color="auto"/>
      </w:divBdr>
    </w:div>
    <w:div w:id="1767536678">
      <w:bodyDiv w:val="1"/>
      <w:marLeft w:val="0"/>
      <w:marRight w:val="0"/>
      <w:marTop w:val="0"/>
      <w:marBottom w:val="0"/>
      <w:divBdr>
        <w:top w:val="none" w:sz="0" w:space="0" w:color="auto"/>
        <w:left w:val="none" w:sz="0" w:space="0" w:color="auto"/>
        <w:bottom w:val="none" w:sz="0" w:space="0" w:color="auto"/>
        <w:right w:val="none" w:sz="0" w:space="0" w:color="auto"/>
      </w:divBdr>
    </w:div>
    <w:div w:id="1774933412">
      <w:bodyDiv w:val="1"/>
      <w:marLeft w:val="0"/>
      <w:marRight w:val="0"/>
      <w:marTop w:val="0"/>
      <w:marBottom w:val="0"/>
      <w:divBdr>
        <w:top w:val="none" w:sz="0" w:space="0" w:color="auto"/>
        <w:left w:val="none" w:sz="0" w:space="0" w:color="auto"/>
        <w:bottom w:val="none" w:sz="0" w:space="0" w:color="auto"/>
        <w:right w:val="none" w:sz="0" w:space="0" w:color="auto"/>
      </w:divBdr>
    </w:div>
    <w:div w:id="1780103093">
      <w:bodyDiv w:val="1"/>
      <w:marLeft w:val="0"/>
      <w:marRight w:val="0"/>
      <w:marTop w:val="0"/>
      <w:marBottom w:val="0"/>
      <w:divBdr>
        <w:top w:val="none" w:sz="0" w:space="0" w:color="auto"/>
        <w:left w:val="none" w:sz="0" w:space="0" w:color="auto"/>
        <w:bottom w:val="none" w:sz="0" w:space="0" w:color="auto"/>
        <w:right w:val="none" w:sz="0" w:space="0" w:color="auto"/>
      </w:divBdr>
    </w:div>
    <w:div w:id="1806121233">
      <w:bodyDiv w:val="1"/>
      <w:marLeft w:val="0"/>
      <w:marRight w:val="0"/>
      <w:marTop w:val="0"/>
      <w:marBottom w:val="0"/>
      <w:divBdr>
        <w:top w:val="none" w:sz="0" w:space="0" w:color="auto"/>
        <w:left w:val="none" w:sz="0" w:space="0" w:color="auto"/>
        <w:bottom w:val="none" w:sz="0" w:space="0" w:color="auto"/>
        <w:right w:val="none" w:sz="0" w:space="0" w:color="auto"/>
      </w:divBdr>
    </w:div>
    <w:div w:id="1823542563">
      <w:bodyDiv w:val="1"/>
      <w:marLeft w:val="0"/>
      <w:marRight w:val="0"/>
      <w:marTop w:val="0"/>
      <w:marBottom w:val="0"/>
      <w:divBdr>
        <w:top w:val="none" w:sz="0" w:space="0" w:color="auto"/>
        <w:left w:val="none" w:sz="0" w:space="0" w:color="auto"/>
        <w:bottom w:val="none" w:sz="0" w:space="0" w:color="auto"/>
        <w:right w:val="none" w:sz="0" w:space="0" w:color="auto"/>
      </w:divBdr>
    </w:div>
    <w:div w:id="1991983902">
      <w:bodyDiv w:val="1"/>
      <w:marLeft w:val="0"/>
      <w:marRight w:val="0"/>
      <w:marTop w:val="0"/>
      <w:marBottom w:val="0"/>
      <w:divBdr>
        <w:top w:val="none" w:sz="0" w:space="0" w:color="auto"/>
        <w:left w:val="none" w:sz="0" w:space="0" w:color="auto"/>
        <w:bottom w:val="none" w:sz="0" w:space="0" w:color="auto"/>
        <w:right w:val="none" w:sz="0" w:space="0" w:color="auto"/>
      </w:divBdr>
    </w:div>
    <w:div w:id="1999074290">
      <w:bodyDiv w:val="1"/>
      <w:marLeft w:val="0"/>
      <w:marRight w:val="0"/>
      <w:marTop w:val="0"/>
      <w:marBottom w:val="0"/>
      <w:divBdr>
        <w:top w:val="none" w:sz="0" w:space="0" w:color="auto"/>
        <w:left w:val="none" w:sz="0" w:space="0" w:color="auto"/>
        <w:bottom w:val="none" w:sz="0" w:space="0" w:color="auto"/>
        <w:right w:val="none" w:sz="0" w:space="0" w:color="auto"/>
      </w:divBdr>
    </w:div>
    <w:div w:id="2021421200">
      <w:bodyDiv w:val="1"/>
      <w:marLeft w:val="0"/>
      <w:marRight w:val="0"/>
      <w:marTop w:val="0"/>
      <w:marBottom w:val="0"/>
      <w:divBdr>
        <w:top w:val="none" w:sz="0" w:space="0" w:color="auto"/>
        <w:left w:val="none" w:sz="0" w:space="0" w:color="auto"/>
        <w:bottom w:val="none" w:sz="0" w:space="0" w:color="auto"/>
        <w:right w:val="none" w:sz="0" w:space="0" w:color="auto"/>
      </w:divBdr>
    </w:div>
    <w:div w:id="2023587572">
      <w:bodyDiv w:val="1"/>
      <w:marLeft w:val="0"/>
      <w:marRight w:val="0"/>
      <w:marTop w:val="0"/>
      <w:marBottom w:val="0"/>
      <w:divBdr>
        <w:top w:val="none" w:sz="0" w:space="0" w:color="auto"/>
        <w:left w:val="none" w:sz="0" w:space="0" w:color="auto"/>
        <w:bottom w:val="none" w:sz="0" w:space="0" w:color="auto"/>
        <w:right w:val="none" w:sz="0" w:space="0" w:color="auto"/>
      </w:divBdr>
    </w:div>
    <w:div w:id="20883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162/neco.1997.9.8.173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nlinelibrary.wiley.com/doi/book/10.1002/97811186191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2E28B-78C7-456D-B8B5-07527177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6</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bharani dharan</cp:lastModifiedBy>
  <cp:revision>13</cp:revision>
  <dcterms:created xsi:type="dcterms:W3CDTF">2025-04-10T12:10:00Z</dcterms:created>
  <dcterms:modified xsi:type="dcterms:W3CDTF">2025-04-11T09:17:00Z</dcterms:modified>
</cp:coreProperties>
</file>