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0C4E8"/>
                <w:sz w:val="20"/>
                <w:szCs w:val="20"/>
              </w:rPr>
              <w:t xml:space="preserve">ARCHITECTURE PROPOSAL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Confidential Multi-Cloud Data Architecture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C9DFF0"/>
                <w:sz w:val="24"/>
                <w:szCs w:val="24"/>
              </w:rPr>
              <w:t xml:space="preserve">Unified Observability, Governance &amp; DPDP Compliance Across Cloud Environments</w:t>
            </w:r>
          </w:p>
          <w:p>
            <w:r>
              <w:rPr>
                <w:rFonts w:ascii="Arial" w:cs="Arial" w:eastAsia="Arial" w:hAnsi="Arial"/>
                <w:color w:val="A0C4E8"/>
                <w:sz w:val="20"/>
                <w:szCs w:val="20"/>
              </w:rPr>
              <w:t xml:space="preserve">Prepared for: CTO / CIO     |     Classification: Confidential     |     May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Our current multi-cloud data environment — spanning AWS, GCP, and on-premises infrastructure — operates without unified observability, consistent data classification, or a centralized governance layer. This creates compounding exposure across three critical dimensions: regulatory compliance (DPDP, GDPR), security (unprotected cross-cloud data movement), and operational resilience (no lineage-aware alerting).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proposal outlines a four-phase architecture built on our existing Atlan investment, addressing these gaps systematically without a big-bang migration. Phase 1 alone delivers standalone compliance and operational value within 90 days.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Problem: Three Live Risks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Regulatory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 cannot currently honor a DPDP data erasure request end-to-end — lineage gaps mean we cannot trace where a specific user's data exists across all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DPDP non-compliance penalties reach up to ₹250 crore per breach incident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GDPR exposure exists wherever EU personal data enters our pipelines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Consent status is not tracked as a first-class data attribute — it sits in a separate system, disconnected from the data it governs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Security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Confidential fields move across cloud boundaries without tokenization — raw values are exposed at every pipeline handoff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Key management is per-cloud (AWS KMS, GCP Cloud KMS) with no unified control plane — no single revocation or rotation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Our Atlan lineage graph is itself an unprotected attack surface: it maps exactly where sensitive data flows, accessible to anyone with catalog access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Operational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Alerts fire without lineage context — a single upstream failure cascades into dozens of alerts across clouds, with no automated root-cause tracing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Metric definitions are inconsistent across cloud environments — 'null rate' means different things in BigQuery vs. Redshift vs. on-prem Spark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Shadow pipelines exist outside governance — ungoverned data movement accumulates as compliance liability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Can we today produce a complete audit trail of where a specific user’s data exists across all our cloud systems? If the answer is no — that is our opening compliance gap.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Proposed Architecture: Four Rings of Control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architecture is structured as four concentric rings. Each ring delivers standalone value; together they form a complete confidential data governance posture.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Ring 1 —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Classify at ingestion, automatically. Tags are hereditary via lineage — downstream datasets inherit classification from upstream sources.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Ring 2 — Key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Centralised key management via HashiCorp Vault or Thales CipherTrust. Envelope encryption. Tokenisation for all cross-cloud movement of Confidential/Restricted fields.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Ring 3 — Zero-Trust Data Mesh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ownership of data products. Central policy broker defines rules; domains enforce them. Every cross-cloud pipeline registered with a contract in Atlan.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Ring 4 — Atlan as Control Plane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Elevate Atlan from catalog to policy enforcement point. Access requests evaluated against lineage + classification. Immutable audit trail as compliance evidence.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Leveraging Our Atlan Investment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Atlan is already deployed. The architecture does not replace it — it extends it into a control plane role we are currently not using: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Lineage as compliance infrastructure: DPDP erasure workflows run on top of the lineage graph — trace and delete a person’s data across all downstream systems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Classification inheritance: automated tagging propagation so governance keeps pace with pipeline growth without manual intervention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Policy enforcement at access: before any pipeline consumes a Confidential dataset, Atlan evaluates classification, requester purpose, and lineage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Lineage security: restrict visibility of sensitive lineage paths to authorised roles — the catalog itself must be governed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 trail as output: every access, pipeline run, and classification change logged immutably for regulatory evidence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Incremental Rollout: Four Phases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big-bang migration. Each phase is independently valuable and funds the case for the next.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80"/>
        <w:gridCol w:w="3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 what you have. Audit Atlan coverage, agree on classification taxonomy, identify crown-jewel datasets, deploy Vault.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map of highest-exposure data flows. Classification gaps documented.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3–6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 what moves. Pipeline contracts for all cross-cloud movement. Tokenisation for Confidential fields. DPDP consent attributes in Atlan.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new unregistered cross-cloud pipelines. Existing ones flagged for remediation.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6–12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 who touches it. Domain ownership model. Atlan as policy enforcement point. Automated classification inheritance. DPDP erasure workflow.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Confidential data access brokered, logged, and auditable.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12+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Prove it continuously. Anomaly detection, automated DPDP compliance reporting, lineage coverage metrics, regular red-team exercises.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evidence generated automatically. Compliance posture self-monitored.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Investment &amp; Return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Cost of Inaction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DPDP penalties: up to ₹250 crore per breach incident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Breach response costs: forensics, notification, and remediation typically 10–50x the cost of prevention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Engineering time: calculate hours lost to manual incident investigation in the last three major pipeline failures — this is recurring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Reputational exposure: a governed data posture is increasingly a procurement and partnership requirement in regulated industries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Cost of the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Phase 1–2: primarily engineering time and Vault licensing. Low absolute cost, high risk reduction.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Phase 3–4: higher investment, funded by risk reduction and engineering efficiency gains from reduced incident investigation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Atlan is already licensed — we are not buying a new platform, we are using an existing asset more fully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BOTTOM LINE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cost of one serious breach — regulatory fine, response, and reputational damage — exceeds the total two-year architecture investment by a significant margin. This is risk reduction with a clear return.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Ask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are not requesting approval for the full four-phase programme today. We are requesting mandate and resource allocation for Phase 1: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90-day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Dedicated engineering allocation: [X engineers, to be confirmed based on current capacity]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Executive mandate to enforce classification standards across data-producing teams — this is the single most critical success factor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Approval to deploy centralised key management infrastructure (HashiCorp Vault)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delivers standalone value: a complete map of our regulatory exposure, documented gaps, and an operational classification foundation. It also produces the evidence base that funds the Phase 2–4 business case.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SUCCESS FACTOR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architecture is sound. The primary execution risk is organisational: data teams move fast and skip classification; security teams own policy but don’t understand pipelines. Executive sponsorship that makes data governance a performance criterion — not a suggestion — is the non-negotiable prerequisite for Phase 3 success.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Approve Phase 1 scope, timeline, and resource allocation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Assign executive sponsor with cross-functional authority over data engineering and security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Commission Phase 1 kick-off: Atlan lineage audit and DPDP erasure request simulation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Schedule Phase 1 review at 30 days to assess findings and confirm Phase 2 case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6"/>
        </w:pBdr>
        <w:spacing w:after="0" w:before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confidential and intended solely for the named recipients. Classification: Confidential.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| Multi-Cloud Data Architecture Proposal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2026-05-13T01:54:39.115Z</dcterms:created>
  <dcterms:modified xsi:type="dcterms:W3CDTF">2026-05-13T01:54:39.117Z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