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rPr>
          <w:b/>
        </w:rPr>
        <w:t xml:space="preserve">Court and district: </w:t>
      </w:r>
      <w:r>
        <w:t>Page 1, Line 1</w:t>
      </w:r>
    </w:p>
    <w:p>
      <w:r>
        <w:rPr>
          <w:b/>
        </w:rPr>
        <w:t xml:space="preserve">Deposition particulars: </w:t>
      </w:r>
      <w:r>
        <w:t>Page 1, Line 5</w:t>
      </w:r>
    </w:p>
    <w:p>
      <w:r>
        <w:rPr>
          <w:b/>
        </w:rPr>
        <w:t xml:space="preserve">Appearance for deposition: </w:t>
      </w:r>
      <w:r>
        <w:t>Page 3, Line 1</w:t>
      </w:r>
    </w:p>
    <w:p>
      <w:r>
        <w:rPr>
          <w:b/>
        </w:rPr>
        <w:t xml:space="preserve">Deposition index: </w:t>
      </w:r>
      <w:r>
        <w:t>Page 5, Line 2</w:t>
      </w:r>
    </w:p>
    <w:p>
      <w:r>
        <w:rPr>
          <w:b/>
        </w:rPr>
        <w:t xml:space="preserve">Deposition commencement and introductions: </w:t>
      </w:r>
      <w:r>
        <w:t>Page 6, Line 1</w:t>
      </w:r>
    </w:p>
    <w:p>
      <w:r>
        <w:rPr>
          <w:b/>
        </w:rPr>
        <w:t xml:space="preserve">Explanation of deposition process: </w:t>
      </w:r>
      <w:r>
        <w:t>Page 7, Line 7</w:t>
      </w:r>
    </w:p>
    <w:p>
      <w:r>
        <w:rPr>
          <w:b/>
        </w:rPr>
        <w:t xml:space="preserve">Witness retention as expert: </w:t>
      </w:r>
      <w:r>
        <w:t>Page 8, Line 24</w:t>
      </w:r>
    </w:p>
    <w:p>
      <w:r>
        <w:rPr>
          <w:b/>
        </w:rPr>
        <w:t xml:space="preserve">Deposition instructions and deponent's ability to testify: </w:t>
      </w:r>
      <w:r>
        <w:t>Page 8, Line 1</w:t>
      </w:r>
    </w:p>
    <w:p>
      <w:r>
        <w:rPr>
          <w:b/>
        </w:rPr>
        <w:t xml:space="preserve">Scope of expert testimony: </w:t>
      </w:r>
      <w:r>
        <w:t>Page 9, Line 2</w:t>
      </w:r>
    </w:p>
    <w:p>
      <w:r>
        <w:rPr>
          <w:b/>
        </w:rPr>
        <w:t xml:space="preserve">Expert report and speaking pace instructions: </w:t>
      </w:r>
      <w:r>
        <w:t>Page 10, Line 2</w:t>
      </w:r>
    </w:p>
    <w:p>
      <w:r>
        <w:rPr>
          <w:b/>
        </w:rPr>
        <w:t xml:space="preserve">Role at Student Borrower Protection Center: </w:t>
      </w:r>
      <w:r>
        <w:t>Page 11, Line 18</w:t>
      </w:r>
    </w:p>
    <w:p>
      <w:r>
        <w:rPr>
          <w:b/>
        </w:rPr>
        <w:t xml:space="preserve">Student Borrower Protection Center policy agenda: </w:t>
      </w:r>
      <w:r>
        <w:t>Page 12, Line 3</w:t>
      </w:r>
    </w:p>
    <w:p>
      <w:r>
        <w:rPr>
          <w:b/>
        </w:rPr>
        <w:t xml:space="preserve">Campaign to cancel student loan debt: </w:t>
      </w:r>
      <w:r>
        <w:t>Page 13, Line 2</w:t>
      </w:r>
    </w:p>
    <w:p>
      <w:r>
        <w:rPr>
          <w:b/>
        </w:rPr>
        <w:t xml:space="preserve">Initiatives for student loan borrower protection: </w:t>
      </w:r>
      <w:r>
        <w:t>Page 13, Line 12</w:t>
      </w:r>
    </w:p>
    <w:p>
      <w:r>
        <w:rPr>
          <w:b/>
        </w:rPr>
        <w:t xml:space="preserve">Role in student loan affordability rulemaking: </w:t>
      </w:r>
      <w:r>
        <w:t>Page 15, Line 4</w:t>
      </w:r>
    </w:p>
    <w:p>
      <w:r>
        <w:rPr>
          <w:b/>
        </w:rPr>
        <w:t xml:space="preserve">Legislative advocacy for loan taxation: </w:t>
      </w:r>
      <w:r>
        <w:t>Page 15, Line 23</w:t>
      </w:r>
    </w:p>
    <w:p>
      <w:r>
        <w:rPr>
          <w:b/>
        </w:rPr>
        <w:t xml:space="preserve">Work on borrower defense regulation: </w:t>
      </w:r>
      <w:r>
        <w:t>Page 16, Line 5</w:t>
      </w:r>
    </w:p>
    <w:p>
      <w:r>
        <w:rPr>
          <w:b/>
        </w:rPr>
        <w:t xml:space="preserve">Work with student loan servicers: </w:t>
      </w:r>
      <w:r>
        <w:t>Page 16, Line 16</w:t>
      </w:r>
    </w:p>
    <w:p>
      <w:r>
        <w:rPr>
          <w:b/>
        </w:rPr>
        <w:t xml:space="preserve">Expertise in student loan market: </w:t>
      </w:r>
      <w:r>
        <w:t>Page 18, Line 8</w:t>
      </w:r>
    </w:p>
    <w:p>
      <w:r>
        <w:rPr>
          <w:b/>
        </w:rPr>
        <w:t xml:space="preserve">Testimony before Congress: </w:t>
      </w:r>
      <w:r>
        <w:t>Page 19, Line 2</w:t>
      </w:r>
    </w:p>
    <w:p>
      <w:r>
        <w:rPr>
          <w:b/>
        </w:rPr>
        <w:t xml:space="preserve">Loan servicer portfolio transfers: </w:t>
      </w:r>
      <w:r>
        <w:t>Page 19, Line 15</w:t>
      </w:r>
    </w:p>
    <w:p>
      <w:r>
        <w:rPr>
          <w:b/>
        </w:rPr>
        <w:t xml:space="preserve">Student loan servicing transfer risks: </w:t>
      </w:r>
      <w:r>
        <w:t>Page 22, Line 1</w:t>
      </w:r>
    </w:p>
    <w:p>
      <w:r>
        <w:rPr>
          <w:b/>
        </w:rPr>
        <w:t xml:space="preserve">Student loan servicer portfolio changes: </w:t>
      </w:r>
      <w:r>
        <w:t>Page 22, Line 18</w:t>
      </w:r>
    </w:p>
    <w:p>
      <w:r>
        <w:rPr>
          <w:b/>
        </w:rPr>
        <w:t xml:space="preserve">Regulations for student loan service data transfer: </w:t>
      </w:r>
      <w:r>
        <w:t>Page 23, Line 7</w:t>
      </w:r>
    </w:p>
    <w:p>
      <w:r>
        <w:rPr>
          <w:b/>
        </w:rPr>
        <w:t xml:space="preserve">Data transfer violations (Access Group to Peak Loan/Vervent): </w:t>
      </w:r>
      <w:r>
        <w:t>Page 23, Line 20</w:t>
      </w:r>
    </w:p>
    <w:p>
      <w:r>
        <w:rPr>
          <w:b/>
        </w:rPr>
        <w:t xml:space="preserve">Experience in criminal law: </w:t>
      </w:r>
      <w:r>
        <w:t>Page 24, Line 14</w:t>
      </w:r>
    </w:p>
    <w:p>
      <w:r>
        <w:rPr>
          <w:b/>
        </w:rPr>
        <w:t xml:space="preserve">Familiarity with RICO statute: </w:t>
      </w:r>
      <w:r>
        <w:t>Page 25, Line 8</w:t>
      </w:r>
    </w:p>
    <w:p>
      <w:r>
        <w:rPr>
          <w:b/>
        </w:rPr>
        <w:t xml:space="preserve">Experience in student loan context: </w:t>
      </w:r>
      <w:r>
        <w:t>Page 25, Line 18</w:t>
      </w:r>
    </w:p>
    <w:p>
      <w:r>
        <w:rPr>
          <w:b/>
        </w:rPr>
        <w:t xml:space="preserve">For-profit college overview: </w:t>
      </w:r>
      <w:r>
        <w:t>Page 27, Line 2</w:t>
      </w:r>
    </w:p>
    <w:p>
      <w:r>
        <w:rPr>
          <w:b/>
        </w:rPr>
        <w:t xml:space="preserve">Experience in ITT institute (education quality, student debt): </w:t>
      </w:r>
      <w:r>
        <w:t>Page 27, Line 13</w:t>
      </w:r>
    </w:p>
    <w:p>
      <w:r>
        <w:rPr>
          <w:b/>
        </w:rPr>
        <w:t xml:space="preserve">Vervent's involvement in ITT's misrepresentation practices: </w:t>
      </w:r>
      <w:r>
        <w:t>Page 35, Line 14</w:t>
      </w:r>
    </w:p>
    <w:p>
      <w:r>
        <w:rPr>
          <w:b/>
        </w:rPr>
        <w:t xml:space="preserve">Misrepresentation in ITT loan practices: </w:t>
      </w:r>
      <w:r>
        <w:t>Page 36, Line 1</w:t>
      </w:r>
    </w:p>
    <w:p>
      <w:r>
        <w:rPr>
          <w:b/>
        </w:rPr>
        <w:t xml:space="preserve">Benefit of ITT degree: </w:t>
      </w:r>
      <w:r>
        <w:t>Page 37, Line 23</w:t>
      </w:r>
    </w:p>
    <w:p>
      <w:r>
        <w:rPr>
          <w:b/>
        </w:rPr>
        <w:t xml:space="preserve">Vervent defendant involvement with peak loan origination: </w:t>
      </w:r>
      <w:r>
        <w:t>Page 42, Line 5</w:t>
      </w:r>
    </w:p>
    <w:p>
      <w:r>
        <w:rPr>
          <w:b/>
        </w:rPr>
        <w:t xml:space="preserve">Vervent's role in recruiting students and Peak Loan: </w:t>
      </w:r>
      <w:r>
        <w:t>Page 43, Line 8</w:t>
      </w:r>
    </w:p>
    <w:p>
      <w:r>
        <w:rPr>
          <w:b/>
        </w:rPr>
        <w:t xml:space="preserve">Validity and enforceability of Peak Loan: </w:t>
      </w:r>
      <w:r>
        <w:t>Page 44, Line 22</w:t>
      </w:r>
    </w:p>
    <w:p>
      <w:r>
        <w:rPr>
          <w:b/>
        </w:rPr>
        <w:t xml:space="preserve">Material defects in Peak Loan documentation: </w:t>
      </w:r>
      <w:r>
        <w:t>Page 50, Line 4</w:t>
      </w:r>
    </w:p>
    <w:p>
      <w:r>
        <w:rPr>
          <w:b/>
        </w:rPr>
        <w:t xml:space="preserve">Opinion on peak loan validity and enforceability: </w:t>
      </w:r>
      <w:r>
        <w:t>Page 50, Line 1</w:t>
      </w:r>
    </w:p>
    <w:p>
      <w:r>
        <w:rPr>
          <w:b/>
        </w:rPr>
        <w:t xml:space="preserve">Review of disclosures and California student loan service law: </w:t>
      </w:r>
      <w:r>
        <w:t>Page 51, Line 3</w:t>
      </w:r>
    </w:p>
    <w:p>
      <w:r>
        <w:rPr>
          <w:b/>
        </w:rPr>
        <w:t xml:space="preserve">Consequences of disclosure failure and right to cancel loan: </w:t>
      </w:r>
      <w:r>
        <w:t>Page 56, Line 12</w:t>
      </w:r>
    </w:p>
    <w:p>
      <w:r>
        <w:rPr>
          <w:b/>
        </w:rPr>
        <w:t xml:space="preserve">Right to cancel loan: </w:t>
      </w:r>
      <w:r>
        <w:t>Page 57, Line 1</w:t>
      </w:r>
    </w:p>
    <w:p>
      <w:r>
        <w:rPr>
          <w:b/>
        </w:rPr>
        <w:t xml:space="preserve">Loan enforceability factors: </w:t>
      </w:r>
      <w:r>
        <w:t>Page 60, Line 1</w:t>
      </w:r>
    </w:p>
    <w:p>
      <w:r>
        <w:rPr>
          <w:b/>
        </w:rPr>
        <w:t xml:space="preserve">CFPB and Department of Education findings on loan enforceability: </w:t>
      </w:r>
      <w:r>
        <w:t>Page 61, Line 9</w:t>
      </w:r>
    </w:p>
    <w:p>
      <w:r>
        <w:rPr>
          <w:b/>
        </w:rPr>
        <w:t xml:space="preserve">ITT abusive recruiting and financial aid practices: </w:t>
      </w:r>
      <w:r>
        <w:t>Page 62, Line 9</w:t>
      </w:r>
    </w:p>
    <w:p>
      <w:r>
        <w:rPr>
          <w:b/>
        </w:rPr>
        <w:t xml:space="preserve">Government loan perception and school abuse history: </w:t>
      </w:r>
      <w:r>
        <w:t>Page 64, Line 8</w:t>
      </w:r>
    </w:p>
    <w:p>
      <w:r>
        <w:rPr>
          <w:b/>
        </w:rPr>
        <w:t xml:space="preserve">ITT abusive practices and investigations: </w:t>
      </w:r>
      <w:r>
        <w:t>Page 65, Line 13</w:t>
      </w:r>
    </w:p>
    <w:p>
      <w:r>
        <w:rPr>
          <w:b/>
        </w:rPr>
        <w:t xml:space="preserve">Peak program investigations: </w:t>
      </w:r>
      <w:r>
        <w:t>Page 66, Line 22</w:t>
      </w:r>
    </w:p>
    <w:p>
      <w:r>
        <w:rPr>
          <w:b/>
        </w:rPr>
        <w:t xml:space="preserve">CFPB civil investigative demand and complaint: </w:t>
      </w:r>
      <w:r>
        <w:t>Page 67, Line 2</w:t>
      </w:r>
    </w:p>
    <w:p>
      <w:r>
        <w:rPr>
          <w:b/>
        </w:rPr>
        <w:t xml:space="preserve">SEC investigation of Peak loan: </w:t>
      </w:r>
      <w:r>
        <w:t>Page 69, Line 1</w:t>
      </w:r>
    </w:p>
    <w:p>
      <w:r>
        <w:rPr>
          <w:b/>
        </w:rPr>
        <w:t xml:space="preserve">CFPB suit against ITT (February 2014): </w:t>
      </w:r>
      <w:r>
        <w:t>Page 71, Line 15</w:t>
      </w:r>
    </w:p>
    <w:p>
      <w:r>
        <w:rPr>
          <w:b/>
        </w:rPr>
        <w:t xml:space="preserve">SEC issues regarding Vervent conduct: </w:t>
      </w:r>
      <w:r>
        <w:t>Page 71, Line 9</w:t>
      </w:r>
    </w:p>
    <w:p>
      <w:r>
        <w:rPr>
          <w:b/>
        </w:rPr>
        <w:t xml:space="preserve">CFPB suit against ITT: </w:t>
      </w:r>
      <w:r>
        <w:t>Page 71, Line 15</w:t>
      </w:r>
    </w:p>
    <w:p>
      <w:r>
        <w:rPr>
          <w:b/>
        </w:rPr>
        <w:t xml:space="preserve">State Attorney General investigation of ITT: </w:t>
      </w:r>
      <w:r>
        <w:t>Page 74, Line 1</w:t>
      </w:r>
    </w:p>
    <w:p>
      <w:r>
        <w:rPr>
          <w:b/>
        </w:rPr>
        <w:t xml:space="preserve">U.S. Department Education findings on Vervent: </w:t>
      </w:r>
      <w:r>
        <w:t>Page 75, Line 6</w:t>
      </w:r>
    </w:p>
    <w:p>
      <w:r>
        <w:rPr>
          <w:b/>
        </w:rPr>
        <w:t xml:space="preserve">Witness professional experience in investigations: </w:t>
      </w:r>
      <w:r>
        <w:t>Page 76, Line 14</w:t>
      </w:r>
    </w:p>
    <w:p>
      <w:r>
        <w:rPr>
          <w:b/>
        </w:rPr>
        <w:t xml:space="preserve">Investigators of ITT Peaks program: </w:t>
      </w:r>
      <w:r>
        <w:t>Page 77, Line 20</w:t>
      </w:r>
    </w:p>
    <w:p>
      <w:r>
        <w:rPr>
          <w:b/>
        </w:rPr>
        <w:t xml:space="preserve">Investigation and wrongdoing: </w:t>
      </w:r>
      <w:r>
        <w:t>Page 78, Line 4</w:t>
      </w:r>
    </w:p>
    <w:p>
      <w:r>
        <w:rPr>
          <w:b/>
        </w:rPr>
        <w:t xml:space="preserve">Investigation and wrongdoing: </w:t>
      </w:r>
      <w:r>
        <w:t>Page 78, Line 1</w:t>
      </w:r>
    </w:p>
    <w:p>
      <w:r>
        <w:rPr>
          <w:b/>
        </w:rPr>
        <w:t xml:space="preserve">Loan servicer functions: </w:t>
      </w:r>
      <w:r>
        <w:t>Page 80, Line 5</w:t>
      </w:r>
    </w:p>
    <w:p>
      <w:r>
        <w:rPr>
          <w:b/>
        </w:rPr>
        <w:t xml:space="preserve">Enforceability of Peak Loans: </w:t>
      </w:r>
      <w:r>
        <w:t>Page 81, Line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