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53D2872C"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r w:rsidR="00D848CB">
        <w:t xml:space="preserve"> We will also discuss the research that’s been performed, including their methods and results.</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5C97F3BD" w:rsidR="0095267A" w:rsidRPr="00826E2A" w:rsidRDefault="0095267A" w:rsidP="0095267A">
      <w:pPr>
        <w:rPr>
          <w:b/>
          <w:bCs/>
          <w:i/>
          <w:iCs/>
        </w:rPr>
      </w:pPr>
      <w:r w:rsidRPr="00826E2A">
        <w:rPr>
          <w:b/>
          <w:bCs/>
          <w:i/>
          <w:iCs/>
        </w:rPr>
        <w:t>Prevalence</w:t>
      </w:r>
    </w:p>
    <w:p w14:paraId="435067CF" w14:textId="3641F588" w:rsidR="0095267A" w:rsidRPr="00826E2A" w:rsidRDefault="0095267A" w:rsidP="0095267A">
      <w:pPr>
        <w:rPr>
          <w:b/>
          <w:bCs/>
          <w:i/>
          <w:iCs/>
        </w:rPr>
      </w:pPr>
      <w:r w:rsidRPr="00826E2A">
        <w:rPr>
          <w:b/>
          <w:bCs/>
          <w:i/>
          <w:iCs/>
        </w:rPr>
        <w:t>Causes (Genetics, Environment, Development Course)</w:t>
      </w:r>
    </w:p>
    <w:p w14:paraId="7A0EE153" w14:textId="1B75343B" w:rsidR="000A4AF1" w:rsidRPr="00826E2A" w:rsidRDefault="0095267A" w:rsidP="0095267A">
      <w:pPr>
        <w:rPr>
          <w:b/>
          <w:bCs/>
          <w:i/>
          <w:iCs/>
        </w:rPr>
      </w:pPr>
      <w:r w:rsidRPr="00826E2A">
        <w:rPr>
          <w:b/>
          <w:bCs/>
          <w:i/>
          <w:iCs/>
        </w:rPr>
        <w:t>Risk Factors</w:t>
      </w:r>
      <w:r w:rsidR="000A4AF1" w:rsidRPr="00826E2A">
        <w:rPr>
          <w:b/>
          <w:bCs/>
          <w:i/>
          <w:iCs/>
        </w:rPr>
        <w:t xml:space="preserve"> (Family History, Prenatal Nicotine Exposure, Fetal Alcohol Syndrome, Prematurity)</w:t>
      </w:r>
    </w:p>
    <w:p w14:paraId="51C48067" w14:textId="7A617C65" w:rsidR="000A4AF1" w:rsidRPr="00826E2A" w:rsidRDefault="000A4AF1" w:rsidP="0095267A">
      <w:pPr>
        <w:rPr>
          <w:b/>
          <w:bCs/>
          <w:i/>
          <w:iCs/>
        </w:rPr>
      </w:pPr>
      <w:r w:rsidRPr="00826E2A">
        <w:rPr>
          <w:b/>
          <w:bCs/>
          <w:i/>
          <w:iCs/>
        </w:rPr>
        <w:t>Complications</w:t>
      </w:r>
    </w:p>
    <w:p w14:paraId="4EDA9CA1" w14:textId="08EE1B0B" w:rsidR="000A4AF1" w:rsidRPr="00826E2A" w:rsidRDefault="000A4AF1" w:rsidP="0095267A">
      <w:pPr>
        <w:rPr>
          <w:b/>
          <w:bCs/>
          <w:i/>
          <w:iCs/>
        </w:rPr>
      </w:pPr>
      <w:r w:rsidRPr="00826E2A">
        <w:rPr>
          <w:b/>
          <w:bCs/>
          <w:i/>
          <w:iCs/>
        </w:rPr>
        <w:t>Comorbidities</w:t>
      </w:r>
    </w:p>
    <w:p w14:paraId="1C2EB22B" w14:textId="00739265" w:rsidR="00152ED3" w:rsidRPr="00826E2A" w:rsidRDefault="00152ED3" w:rsidP="0095267A">
      <w:pPr>
        <w:rPr>
          <w:b/>
          <w:bCs/>
        </w:rPr>
      </w:pPr>
      <w:r w:rsidRPr="00826E2A">
        <w:rPr>
          <w:b/>
          <w:bCs/>
          <w:i/>
          <w:iCs/>
        </w:rPr>
        <w:t>Treatment</w:t>
      </w:r>
    </w:p>
    <w:p w14:paraId="2C5A0315" w14:textId="77777777" w:rsidR="00826E2A" w:rsidRDefault="00826E2A" w:rsidP="0095267A"/>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95267A">
      <w:pPr>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 xml:space="preserve">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w:t>
      </w:r>
      <w:r w:rsidRPr="00826E2A">
        <w:lastRenderedPageBreak/>
        <w:t>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826E2A">
      <w:pPr>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w:t>
      </w:r>
      <w:proofErr w:type="gramStart"/>
      <w:r w:rsidRPr="001516BD">
        <w:t>and also</w:t>
      </w:r>
      <w:proofErr w:type="gramEnd"/>
      <w:r w:rsidRPr="001516BD">
        <w:t xml:space="preserve">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826E2A">
      <w:pPr>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w:t>
      </w:r>
      <w:r w:rsidRPr="00F97D13">
        <w:lastRenderedPageBreak/>
        <w:t xml:space="preserve">measuring volumes of the whole brain, along with the caudate nucleus, putamen, nucleus </w:t>
      </w:r>
      <w:proofErr w:type="spellStart"/>
      <w:r w:rsidRPr="00F97D13">
        <w:t>accumbens</w:t>
      </w:r>
      <w:proofErr w:type="spellEnd"/>
      <w:r w:rsidRPr="00F97D13">
        <w:t>,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4415F1">
      <w:pPr>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w:t>
      </w:r>
      <w:r w:rsidRPr="009F4EAB">
        <w:lastRenderedPageBreak/>
        <w:t xml:space="preserve">the cerebellum and supramarginal gyrus, decreased </w:t>
      </w:r>
      <w:proofErr w:type="spellStart"/>
      <w:r w:rsidRPr="009F4EAB">
        <w:t>rsFC</w:t>
      </w:r>
      <w:proofErr w:type="spellEnd"/>
      <w:r w:rsidRPr="009F4EAB">
        <w:t xml:space="preserve"> in the right supplementary motor area and right lateral 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826E2A">
      <w:pPr>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 xml:space="preserve">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rsidRPr="00D129BB">
        <w:t>inattention</w:t>
      </w:r>
      <w:proofErr w:type="gramEnd"/>
      <w:r w:rsidRPr="00D129BB">
        <w:t>.</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E668D0">
      <w:pPr>
        <w:rPr>
          <w:b/>
          <w:bCs/>
          <w:i/>
          <w:iCs/>
        </w:rPr>
      </w:pPr>
      <w:r w:rsidRPr="00E668D0">
        <w:rPr>
          <w:b/>
          <w:bCs/>
          <w:i/>
          <w:iCs/>
        </w:rPr>
        <w:t>Corpus Callosum</w:t>
      </w:r>
    </w:p>
    <w:p w14:paraId="25C726CB" w14:textId="34141F23" w:rsidR="00E668D0" w:rsidRDefault="00F3066E" w:rsidP="00F3066E">
      <w:pPr>
        <w:ind w:left="720" w:firstLine="720"/>
      </w:pPr>
      <w:r w:rsidRPr="00F3066E">
        <w:t xml:space="preserve">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w:t>
      </w:r>
      <w:r w:rsidRPr="00F3066E">
        <w:lastRenderedPageBreak/>
        <w:t>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FE7895">
      <w:pPr>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BF2B91">
      <w:pPr>
        <w:rPr>
          <w:b/>
          <w:bCs/>
          <w:i/>
          <w:iCs/>
        </w:rPr>
      </w:pPr>
      <w:r w:rsidRPr="000170FF">
        <w:rPr>
          <w:b/>
          <w:bCs/>
          <w:i/>
          <w:iCs/>
        </w:rPr>
        <w:t>Hippocampus</w:t>
      </w:r>
    </w:p>
    <w:p w14:paraId="67874D1E" w14:textId="0B5EC44B" w:rsidR="00BF2B91" w:rsidRDefault="000170FF" w:rsidP="000170FF">
      <w:pPr>
        <w:ind w:left="720" w:firstLine="720"/>
      </w:pPr>
      <w:r w:rsidRPr="000170FF">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Default="000170FF" w:rsidP="000170FF">
      <w:r>
        <w:t>Hypothalamus</w:t>
      </w:r>
    </w:p>
    <w:p w14:paraId="2FCD10FC" w14:textId="57C776F0" w:rsidR="000170FF" w:rsidRDefault="00C924F7" w:rsidP="00C924F7">
      <w:pPr>
        <w:ind w:left="720" w:firstLine="720"/>
      </w:pPr>
      <w:r w:rsidRPr="00C924F7">
        <w:lastRenderedPageBreak/>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1A2AC668" w14:textId="0E43855B" w:rsidR="00C924F7" w:rsidRDefault="00C924F7" w:rsidP="00C924F7">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2CD09FF1" w:rsidR="000170FF" w:rsidRDefault="00C924F7" w:rsidP="00C924F7">
      <w:pPr>
        <w:tabs>
          <w:tab w:val="left" w:pos="2400"/>
        </w:tabs>
      </w:pPr>
      <w:r>
        <w:t>Middle Frontal Gyrus</w:t>
      </w:r>
    </w:p>
    <w:p w14:paraId="5A94AD33" w14:textId="00A89A4E" w:rsidR="00C924F7" w:rsidRDefault="00C924F7" w:rsidP="00C924F7">
      <w:pPr>
        <w:tabs>
          <w:tab w:val="left" w:pos="2400"/>
        </w:tabs>
      </w:pPr>
      <w:r>
        <w:t xml:space="preserve">Nucleus </w:t>
      </w:r>
      <w:proofErr w:type="spellStart"/>
      <w:r>
        <w:t>Accumbens</w:t>
      </w:r>
      <w:proofErr w:type="spellEnd"/>
    </w:p>
    <w:p w14:paraId="5F345BF4" w14:textId="5806C6B8" w:rsidR="00C924F7" w:rsidRDefault="00C924F7" w:rsidP="00C924F7">
      <w:pPr>
        <w:tabs>
          <w:tab w:val="left" w:pos="2400"/>
        </w:tabs>
      </w:pPr>
      <w:r>
        <w:t>Pituitary</w:t>
      </w:r>
    </w:p>
    <w:p w14:paraId="2CB33980" w14:textId="031B3C6E" w:rsidR="006A1954" w:rsidRDefault="00C924F7" w:rsidP="00C924F7">
      <w:pPr>
        <w:tabs>
          <w:tab w:val="left" w:pos="2400"/>
        </w:tabs>
      </w:pPr>
      <w: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lastRenderedPageBreak/>
        <w:t>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38CFE99C" w14:textId="1B41EAA4" w:rsidR="006A1954" w:rsidRDefault="006A1954" w:rsidP="006A1954">
      <w:pPr>
        <w:ind w:left="720" w:firstLine="720"/>
      </w:pPr>
    </w:p>
    <w:p w14:paraId="4AD35305" w14:textId="77777777" w:rsidR="006A1954" w:rsidRDefault="006A1954" w:rsidP="006A1954">
      <w:pPr>
        <w:ind w:left="720" w:firstLine="720"/>
      </w:pPr>
    </w:p>
    <w:p w14:paraId="5E429950" w14:textId="65E23317" w:rsidR="0095267A" w:rsidRPr="00826E2A" w:rsidRDefault="0095267A" w:rsidP="00826E2A">
      <w:pPr>
        <w:rPr>
          <w:b/>
          <w:bCs/>
          <w:i/>
          <w:iCs/>
          <w:u w:val="single"/>
        </w:rPr>
      </w:pPr>
      <w:r w:rsidRPr="00826E2A">
        <w:rPr>
          <w:b/>
          <w:bCs/>
          <w:i/>
          <w:iCs/>
          <w:u w:val="single"/>
        </w:rPr>
        <w:t>Pathophysiology</w:t>
      </w:r>
    </w:p>
    <w:p w14:paraId="5D9F76F2" w14:textId="7FDBE51E" w:rsidR="0095267A" w:rsidRPr="00826E2A" w:rsidRDefault="0095267A">
      <w:pPr>
        <w:rPr>
          <w:b/>
          <w:bCs/>
          <w:i/>
          <w:iCs/>
          <w:u w:val="single"/>
        </w:rPr>
      </w:pPr>
      <w:r w:rsidRPr="00826E2A">
        <w:rPr>
          <w:b/>
          <w:bCs/>
          <w:i/>
          <w:iCs/>
          <w:u w:val="single"/>
        </w:rPr>
        <w:t>Genetics</w:t>
      </w:r>
    </w:p>
    <w:p w14:paraId="701AEEA7" w14:textId="54426A10" w:rsidR="0095267A" w:rsidRDefault="0095267A">
      <w:r>
        <w:tab/>
      </w:r>
    </w:p>
    <w:p w14:paraId="12B58DD3" w14:textId="5A0E8EF3" w:rsidR="0078427E" w:rsidRDefault="0078427E"/>
    <w:p w14:paraId="7B8EDC10" w14:textId="77777777" w:rsidR="0078427E" w:rsidRDefault="0078427E"/>
    <w:sectPr w:rsidR="0078427E"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520F4"/>
    <w:rsid w:val="000A4AF1"/>
    <w:rsid w:val="00127CE1"/>
    <w:rsid w:val="001516BD"/>
    <w:rsid w:val="00152ED3"/>
    <w:rsid w:val="00181D20"/>
    <w:rsid w:val="001C46CA"/>
    <w:rsid w:val="0022382D"/>
    <w:rsid w:val="0029473E"/>
    <w:rsid w:val="002E15BE"/>
    <w:rsid w:val="002F3BCC"/>
    <w:rsid w:val="00311511"/>
    <w:rsid w:val="004415F1"/>
    <w:rsid w:val="00555F61"/>
    <w:rsid w:val="005A16EC"/>
    <w:rsid w:val="00630EF2"/>
    <w:rsid w:val="006A1954"/>
    <w:rsid w:val="00777FB9"/>
    <w:rsid w:val="0078427E"/>
    <w:rsid w:val="007848F4"/>
    <w:rsid w:val="00826E2A"/>
    <w:rsid w:val="0095267A"/>
    <w:rsid w:val="009B2E74"/>
    <w:rsid w:val="009F4EAB"/>
    <w:rsid w:val="00AF2B39"/>
    <w:rsid w:val="00BF2B91"/>
    <w:rsid w:val="00C13607"/>
    <w:rsid w:val="00C924F7"/>
    <w:rsid w:val="00D129BB"/>
    <w:rsid w:val="00D65179"/>
    <w:rsid w:val="00D848CB"/>
    <w:rsid w:val="00E668D0"/>
    <w:rsid w:val="00F3066E"/>
    <w:rsid w:val="00F97D13"/>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7</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16</cp:revision>
  <dcterms:created xsi:type="dcterms:W3CDTF">2023-12-17T03:20:00Z</dcterms:created>
  <dcterms:modified xsi:type="dcterms:W3CDTF">2023-12-18T19:37:00Z</dcterms:modified>
</cp:coreProperties>
</file>