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44890" w14:textId="77777777" w:rsidR="007807B3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CHERRY BLOSSOM CO-OP. HOUSING SOCIETY LTD.</w:t>
      </w:r>
    </w:p>
    <w:p w14:paraId="72F07F4C" w14:textId="77777777" w:rsidR="007807B3" w:rsidRDefault="00000000">
      <w:pPr>
        <w:spacing w:after="40"/>
        <w:jc w:val="center"/>
      </w:pPr>
      <w:r>
        <w:rPr>
          <w:i/>
          <w:iCs/>
          <w:sz w:val="18"/>
          <w:szCs w:val="18"/>
        </w:rPr>
        <w:t>(Regd. No.: BOM/W-P/HSG/TC/6681/91-92)</w:t>
      </w:r>
    </w:p>
    <w:p w14:paraId="0F506F4A" w14:textId="77777777" w:rsidR="007807B3" w:rsidRDefault="00000000">
      <w:pPr>
        <w:spacing w:after="200"/>
        <w:jc w:val="center"/>
      </w:pPr>
      <w:r>
        <w:rPr>
          <w:i/>
          <w:iCs/>
          <w:sz w:val="18"/>
          <w:szCs w:val="18"/>
        </w:rPr>
        <w:t xml:space="preserve">Plot No. 157/2, </w:t>
      </w:r>
      <w:proofErr w:type="spellStart"/>
      <w:r>
        <w:rPr>
          <w:i/>
          <w:iCs/>
          <w:sz w:val="18"/>
          <w:szCs w:val="18"/>
        </w:rPr>
        <w:t>D'Monte</w:t>
      </w:r>
      <w:proofErr w:type="spellEnd"/>
      <w:r>
        <w:rPr>
          <w:i/>
          <w:iCs/>
          <w:sz w:val="18"/>
          <w:szCs w:val="18"/>
        </w:rPr>
        <w:t xml:space="preserve"> Lane, </w:t>
      </w:r>
      <w:proofErr w:type="spellStart"/>
      <w:r>
        <w:rPr>
          <w:i/>
          <w:iCs/>
          <w:sz w:val="18"/>
          <w:szCs w:val="18"/>
        </w:rPr>
        <w:t>Valnai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Orlem</w:t>
      </w:r>
      <w:proofErr w:type="spellEnd"/>
      <w:r>
        <w:rPr>
          <w:i/>
          <w:iCs/>
          <w:sz w:val="18"/>
          <w:szCs w:val="18"/>
        </w:rPr>
        <w:t>, Malad (West), Mumbai - 400064</w:t>
      </w:r>
    </w:p>
    <w:p w14:paraId="1BCA13EC" w14:textId="77777777" w:rsidR="007807B3" w:rsidRDefault="00000000">
      <w:pPr>
        <w:pBdr>
          <w:top w:val="single" w:sz="8" w:space="6" w:color="1F3864"/>
          <w:bottom w:val="single" w:sz="8" w:space="6" w:color="1F3864"/>
        </w:pBdr>
        <w:spacing w:after="60"/>
        <w:jc w:val="center"/>
      </w:pPr>
      <w:r>
        <w:rPr>
          <w:b/>
          <w:bCs/>
          <w:sz w:val="24"/>
          <w:szCs w:val="24"/>
        </w:rPr>
        <w:t xml:space="preserve">BALANCE SHEET </w:t>
      </w:r>
      <w:proofErr w:type="gramStart"/>
      <w:r>
        <w:rPr>
          <w:b/>
          <w:bCs/>
          <w:sz w:val="24"/>
          <w:szCs w:val="24"/>
        </w:rPr>
        <w:t>ANALYSIS  &amp;</w:t>
      </w:r>
      <w:proofErr w:type="gramEnd"/>
      <w:r>
        <w:rPr>
          <w:b/>
          <w:bCs/>
          <w:sz w:val="24"/>
          <w:szCs w:val="24"/>
        </w:rPr>
        <w:t xml:space="preserve">  INCOME AND EXPENDITURE COMPARISON</w:t>
      </w:r>
    </w:p>
    <w:p w14:paraId="326AF464" w14:textId="77777777" w:rsidR="007807B3" w:rsidRDefault="00000000">
      <w:pPr>
        <w:spacing w:before="60" w:after="300"/>
        <w:jc w:val="center"/>
      </w:pPr>
      <w:r>
        <w:rPr>
          <w:sz w:val="19"/>
          <w:szCs w:val="19"/>
        </w:rPr>
        <w:t>For the year ended 31st March 2026 (FY 2025-26), compared with FY 2024-25</w:t>
      </w:r>
    </w:p>
    <w:p w14:paraId="4C2E67E2" w14:textId="77777777" w:rsidR="007807B3" w:rsidRDefault="00000000">
      <w:pPr>
        <w:spacing w:before="60" w:after="120"/>
        <w:jc w:val="both"/>
      </w:pPr>
      <w:r>
        <w:t xml:space="preserve">This note presents an analytical review of the Society's Balance Sheet as at 31st March 2026 and its Income &amp; Expenditure Account for the year then ended, comparing figures with the corresponding previous year (FY 2024-25) as reported in the audited accounts prepared by Shri. Bharat C. </w:t>
      </w:r>
      <w:proofErr w:type="spellStart"/>
      <w:r>
        <w:t>Boridkar</w:t>
      </w:r>
      <w:proofErr w:type="spellEnd"/>
      <w:r>
        <w:t>, Govt. Certified Panel Auditor. All amounts are in Rupees unless stated otherwise.</w:t>
      </w:r>
    </w:p>
    <w:p w14:paraId="2B5434DA" w14:textId="77777777" w:rsidR="007807B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SECTION I: BALANCE SHEET ANALYSIS</w:t>
      </w:r>
    </w:p>
    <w:p w14:paraId="587C4A50" w14:textId="77777777" w:rsidR="007807B3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Overview</w:t>
      </w:r>
    </w:p>
    <w:p w14:paraId="333BC4F7" w14:textId="77777777" w:rsidR="007807B3" w:rsidRDefault="00000000">
      <w:pPr>
        <w:spacing w:before="60" w:after="120"/>
        <w:jc w:val="both"/>
      </w:pPr>
      <w:r>
        <w:t>The Balance Sheet total (both Liabilities and Assets) grew from Rs. 56,23,763.00 as at 31.03.2025 to Rs. 58,69,496.00 as at 31.03.2026, an increase of Rs. 2,45,733.00 (+4.37%). This growth was driven mainly by accretion to the Society's Reserve Funds (Sinking Fund, Major Repair Fund) and a rise in Current Liabilities, on the liabilities side; and by growth in Fixed Deposit investments, on the assets side.</w:t>
      </w:r>
    </w:p>
    <w:p w14:paraId="170012C5" w14:textId="77777777" w:rsidR="007807B3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A. Capital &amp; Liabilities</w:t>
      </w:r>
    </w:p>
    <w:p w14:paraId="78DCDDA3" w14:textId="77777777" w:rsidR="007807B3" w:rsidRDefault="00000000">
      <w:pPr>
        <w:spacing w:before="160" w:after="80"/>
      </w:pPr>
      <w:r>
        <w:rPr>
          <w:b/>
          <w:bCs/>
          <w:sz w:val="21"/>
          <w:szCs w:val="21"/>
          <w:u w:val="single"/>
        </w:rPr>
        <w:t>1. Share Capital</w:t>
      </w:r>
    </w:p>
    <w:p w14:paraId="4C2FC0C2" w14:textId="77777777" w:rsidR="007807B3" w:rsidRDefault="00000000">
      <w:pPr>
        <w:spacing w:before="60" w:after="120"/>
        <w:jc w:val="both"/>
      </w:pPr>
      <w:r>
        <w:t>Authorised Share Capital stood unchanged at Rs. 1,00,000.00 (2,000 shares of Rs. 50/- each). Issued, Subscribed and Paid-up Share Capital remained flat at Rs. 10,000.00 (200 shares of Rs. 50/- each) in both years - the increase from 100 to 200 shares (Rs. 5,000.00 to Rs. 10,000.00) had already taken place during FY 2024-25, and no further shares were issued in FY 2025-26.</w:t>
      </w:r>
    </w:p>
    <w:p w14:paraId="5F02A6C5" w14:textId="77777777" w:rsidR="007807B3" w:rsidRDefault="00000000">
      <w:pPr>
        <w:spacing w:before="160" w:after="80"/>
      </w:pPr>
      <w:r>
        <w:rPr>
          <w:b/>
          <w:bCs/>
          <w:sz w:val="21"/>
          <w:szCs w:val="21"/>
          <w:u w:val="single"/>
        </w:rPr>
        <w:t>2. General Reserve &amp; Other Funds</w:t>
      </w:r>
    </w:p>
    <w:p w14:paraId="03C4BAAC" w14:textId="77777777" w:rsidR="007807B3" w:rsidRDefault="00000000">
      <w:pPr>
        <w:spacing w:before="60" w:after="120"/>
        <w:jc w:val="both"/>
      </w:pPr>
      <w:r>
        <w:t>The Society maintains seven designated funds. Combined, these funds increased from Rs. 25,14,943.00 to Rs. 27,36,105.00, a rise of Rs. 2,21,162.00 (+8.79%), funded through statutory transfers and interest accretion rather than fresh appropriation of surplus (no surplus was available for the customary 25% transfer to General Reserve Fund in either year, since the Society ran a deficit both years).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7"/>
        <w:gridCol w:w="1491"/>
        <w:gridCol w:w="1491"/>
        <w:gridCol w:w="1701"/>
        <w:gridCol w:w="1190"/>
      </w:tblGrid>
      <w:tr w:rsidR="007807B3" w14:paraId="674D5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A0990" w14:textId="77777777" w:rsidR="007807B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Particulars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B22E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2024-25 (Rs.)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95286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2025-26 (Rs.)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A0EB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Increase/(Decrease)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D20BA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Change</w:t>
            </w:r>
          </w:p>
        </w:tc>
      </w:tr>
      <w:tr w:rsidR="007807B3" w14:paraId="5EA2AFA5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C0E54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General Reserve Fund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E750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43,296.00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209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43,396.00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8ACA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+100.00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4746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+0.23%</w:t>
            </w:r>
          </w:p>
        </w:tc>
      </w:tr>
      <w:tr w:rsidR="007807B3" w14:paraId="1D910EFF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92792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Sinking Fund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FC6F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13,29,307.00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F8FD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14,63,563.00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D52B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+1,34,256.00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A1D4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+10.10%</w:t>
            </w:r>
          </w:p>
        </w:tc>
      </w:tr>
      <w:tr w:rsidR="007807B3" w14:paraId="3FC44F54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911F2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Repair Fund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24B6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50,445.00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47E9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50,445.00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746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14B5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0D8B27B7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413C4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Major Repair Fund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746A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10,11,748.00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D751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10,95,520.00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0DA3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+83,772.00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FCC3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+8.28%</w:t>
            </w:r>
          </w:p>
        </w:tc>
      </w:tr>
      <w:tr w:rsidR="007807B3" w14:paraId="015DEE84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F4C02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Education &amp; Training Fund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3A8D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10,147.00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212B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13,181.00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47D3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+3,034.00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DAE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+29.90%</w:t>
            </w:r>
          </w:p>
        </w:tc>
      </w:tr>
      <w:tr w:rsidR="007807B3" w14:paraId="779EC658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EC56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Common Amenities Fund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636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70,000.00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93D2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70,000.00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CD12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0649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44226571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C1C9A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Deemed Conveyance Fund (fully utilised - paid to Adv. Kadam)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1F28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1C97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71F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39A4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</w:tr>
      <w:tr w:rsidR="007807B3" w14:paraId="51065D5F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A7D2F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 - General Reserve &amp; Other Funds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16BD0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25,14,943.00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C83A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27,36,105.00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B45B8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+2,21,162.00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E65DB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+8.79%</w:t>
            </w:r>
          </w:p>
        </w:tc>
      </w:tr>
    </w:tbl>
    <w:p w14:paraId="7C38E50B" w14:textId="77777777" w:rsidR="007807B3" w:rsidRDefault="00000000">
      <w:pPr>
        <w:spacing w:before="60" w:after="120"/>
        <w:jc w:val="both"/>
      </w:pPr>
      <w:r>
        <w:rPr>
          <w:i/>
          <w:iCs/>
        </w:rPr>
        <w:t>Observations: The Sinking Fund (+10.10%) and Major Repair Fund (+8.28%) - the Society's two largest reserves - continued to build up steadily through fixed contributions and interest earned. The Education &amp; Training Fund grew 29.90%, though from a small base. The Deemed Conveyance Fund shows a Nil balance in both years, having been fully utilised in paying Adv. Kadam's fees in an earlier year; it is retained on the face of the Balance Sheet for record purposes.</w:t>
      </w:r>
    </w:p>
    <w:p w14:paraId="2DB7C78A" w14:textId="77777777" w:rsidR="007807B3" w:rsidRDefault="00000000">
      <w:pPr>
        <w:spacing w:before="160" w:after="80"/>
      </w:pPr>
      <w:r>
        <w:rPr>
          <w:b/>
          <w:bCs/>
          <w:sz w:val="21"/>
          <w:szCs w:val="21"/>
          <w:u w:val="single"/>
        </w:rPr>
        <w:t>3. Members' Contribution towards Land &amp; Building</w:t>
      </w:r>
    </w:p>
    <w:p w14:paraId="7E6ECC60" w14:textId="77777777" w:rsidR="007807B3" w:rsidRDefault="00000000">
      <w:pPr>
        <w:spacing w:before="60" w:after="120"/>
        <w:jc w:val="both"/>
      </w:pPr>
      <w:r>
        <w:lastRenderedPageBreak/>
        <w:t>This item, representing members' original contribution towards the cost of Land &amp; Building, remained unchanged at Rs. 29,95,875.00 in both years, as expected since it is not a revenue account.</w:t>
      </w:r>
    </w:p>
    <w:p w14:paraId="7BA37782" w14:textId="77777777" w:rsidR="007807B3" w:rsidRDefault="00000000">
      <w:pPr>
        <w:spacing w:before="160" w:after="80"/>
      </w:pPr>
      <w:r>
        <w:rPr>
          <w:b/>
          <w:bCs/>
          <w:sz w:val="21"/>
          <w:szCs w:val="21"/>
          <w:u w:val="single"/>
        </w:rPr>
        <w:t>4. Current Liabilities</w:t>
      </w:r>
    </w:p>
    <w:p w14:paraId="492CA126" w14:textId="77777777" w:rsidR="007807B3" w:rsidRDefault="00000000">
      <w:pPr>
        <w:spacing w:before="60" w:after="120"/>
        <w:jc w:val="both"/>
      </w:pPr>
      <w:r>
        <w:t>Current Liabilities rose from Rs. 1,02,945.00 to Rs. 1,27,516.00, an increase of Rs. 24,571.00 (+23.87%).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0"/>
        <w:gridCol w:w="1489"/>
        <w:gridCol w:w="1489"/>
        <w:gridCol w:w="1701"/>
        <w:gridCol w:w="1191"/>
      </w:tblGrid>
      <w:tr w:rsidR="007807B3" w14:paraId="51F15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1070" w14:textId="77777777" w:rsidR="007807B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Particulars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6662A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2024-25 (Rs.)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A2C0D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2025-26 (Rs.)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8E3E9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Increase/(Decrease)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C3EC9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Change</w:t>
            </w:r>
          </w:p>
        </w:tc>
      </w:tr>
      <w:tr w:rsidR="007807B3" w14:paraId="1E23CB0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8006C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Advance from Members (Sch-IV)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50DF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42,082.00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4C72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54,467.00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996A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+12,385.00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69E4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+29.43%</w:t>
            </w:r>
          </w:p>
        </w:tc>
      </w:tr>
      <w:tr w:rsidR="007807B3" w14:paraId="7BA6C007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0002A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Provision &amp; Payables (Sch-V)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32F6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26,232.00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FAFE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38,418.00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C376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+12,186.00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6B91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+46.45%</w:t>
            </w:r>
          </w:p>
        </w:tc>
      </w:tr>
      <w:tr w:rsidR="007807B3" w14:paraId="34B70BB8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1BA3D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Retention Money (Renova)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28D0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34,631.00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826D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34,631.00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7116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3433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3DD08E64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97126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 - Current Liabilities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6C0CE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1,02,945.00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7E5F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1,27,516.00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FCCB1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+24,571.00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C7565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+23.87%</w:t>
            </w:r>
          </w:p>
        </w:tc>
      </w:tr>
    </w:tbl>
    <w:p w14:paraId="04F35EFC" w14:textId="77777777" w:rsidR="007807B3" w:rsidRDefault="00000000">
      <w:pPr>
        <w:spacing w:before="60" w:after="120"/>
        <w:jc w:val="both"/>
      </w:pPr>
      <w:r>
        <w:rPr>
          <w:i/>
          <w:iCs/>
        </w:rPr>
        <w:t>Observations: Advance from Members increased 29.43% and Provision &amp; Payables increased 46.46%, both indicating a higher year-end pipeline of member advances and unpaid bills/statutory dues. Retention Money held against the Renova contract remained static at Rs. 34,631.00, unchanged since it is being retained pending completion/defect-liability requirements.</w:t>
      </w:r>
    </w:p>
    <w:p w14:paraId="078F960F" w14:textId="77777777" w:rsidR="007807B3" w:rsidRDefault="00000000">
      <w:pPr>
        <w:spacing w:before="160" w:after="80"/>
      </w:pPr>
      <w:r>
        <w:rPr>
          <w:b/>
          <w:bCs/>
          <w:sz w:val="21"/>
          <w:szCs w:val="21"/>
          <w:u w:val="single"/>
        </w:rPr>
        <w:t>Summary - Capital &amp; Liabilities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7"/>
        <w:gridCol w:w="1491"/>
        <w:gridCol w:w="1491"/>
        <w:gridCol w:w="1701"/>
        <w:gridCol w:w="1190"/>
      </w:tblGrid>
      <w:tr w:rsidR="007807B3" w14:paraId="4174E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6CE1" w14:textId="77777777" w:rsidR="007807B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Particulars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9CCC2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2024-25 (Rs.)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0D9DD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2025-26 (Rs.)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2AD48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Increase/(Decrease)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8443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Change</w:t>
            </w:r>
          </w:p>
        </w:tc>
      </w:tr>
      <w:tr w:rsidR="007807B3" w14:paraId="78A3A4DD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C137C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Issued, Subscribed &amp; Paid-up Share Capital (200 shares of Rs.50/- each)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484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10,000.00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48EA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10,000.00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4B0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43C2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5867B6D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89B2F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General Reserve &amp; Other Funds (as detailed above)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63F4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25,14,943.00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560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27,36,105.00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BF0F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+2,21,162.00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8ADF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+8.79%</w:t>
            </w:r>
          </w:p>
        </w:tc>
      </w:tr>
      <w:tr w:rsidR="007807B3" w14:paraId="05A8CFBB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967E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Members' Contribution towards Land &amp; Building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3317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29,95,875.00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CBBC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29,95,875.00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D9C0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8DD9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3BF5CDB7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5FA6C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Current Liabilities (as detailed above)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4D1A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1,02,945.00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B09D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1,27,516.00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6779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+24,571.00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5E16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+23.87%</w:t>
            </w:r>
          </w:p>
        </w:tc>
      </w:tr>
      <w:tr w:rsidR="007807B3" w14:paraId="2A761382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1CB62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 LIABILITIES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449A3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56,23,763.00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9E6A6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58,69,496.00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27900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+2,45,733.00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8B0DF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+4.37%</w:t>
            </w:r>
          </w:p>
        </w:tc>
      </w:tr>
    </w:tbl>
    <w:p w14:paraId="0ED73A6C" w14:textId="77777777" w:rsidR="007807B3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B. Assets</w:t>
      </w:r>
    </w:p>
    <w:p w14:paraId="71E8ECB1" w14:textId="77777777" w:rsidR="007807B3" w:rsidRDefault="00000000">
      <w:pPr>
        <w:spacing w:before="160" w:after="80"/>
      </w:pPr>
      <w:r>
        <w:rPr>
          <w:b/>
          <w:bCs/>
          <w:sz w:val="21"/>
          <w:szCs w:val="21"/>
          <w:u w:val="single"/>
        </w:rPr>
        <w:t>1. Cash &amp; Bank Balances</w:t>
      </w:r>
    </w:p>
    <w:p w14:paraId="0FCD29A1" w14:textId="77777777" w:rsidR="007807B3" w:rsidRDefault="00000000">
      <w:pPr>
        <w:spacing w:before="60" w:after="120"/>
        <w:jc w:val="both"/>
      </w:pPr>
      <w:r>
        <w:t>Cash &amp; Bank Balances fell sharply from Rs. 2,19,902.60 to Rs. 1,13,419.80, a decrease of Rs. 1,06,482.80 (-48.42%), driven almost entirely by the Citizen Credit Co-op. Bank balance, which fell 53.60%.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3"/>
        <w:gridCol w:w="1487"/>
        <w:gridCol w:w="1487"/>
        <w:gridCol w:w="1701"/>
        <w:gridCol w:w="1192"/>
      </w:tblGrid>
      <w:tr w:rsidR="007807B3" w14:paraId="7F696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2CB8C" w14:textId="77777777" w:rsidR="007807B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Particulars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78D54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2024-25 (Rs.)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5B6B2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2025-26 (Rs.)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E82B6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Increase/(Decrease)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954DC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Change</w:t>
            </w:r>
          </w:p>
        </w:tc>
      </w:tr>
      <w:tr w:rsidR="007807B3" w14:paraId="62CE121A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CEEAD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Cash Balance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D17A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1,640.00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1FD7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4,405.00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6CD1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+2,765.00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26E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+168.60%</w:t>
            </w:r>
          </w:p>
        </w:tc>
      </w:tr>
      <w:tr w:rsidR="007807B3" w14:paraId="75B67DFD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9482A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Citizen Credit Co-op. Bank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2292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2,07,148.75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0C7D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96,127.95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EFEF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-1,11,020.80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8E3C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-53.59%</w:t>
            </w:r>
          </w:p>
        </w:tc>
      </w:tr>
      <w:tr w:rsidR="007807B3" w14:paraId="145A99E4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C3E0F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MDCC Bank (A/c No. 00061006000497)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5AC9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11,113.85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C549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12,886.85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6C07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+1,773.00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35E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+15.95%</w:t>
            </w:r>
          </w:p>
        </w:tc>
      </w:tr>
      <w:tr w:rsidR="007807B3" w14:paraId="1B76C0C2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E7181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 - Cash &amp; Bank Balances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54C1C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2,19,902.60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5BDE4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1,13,419.80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2A713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-1,06,482.80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0562D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-48.42%</w:t>
            </w:r>
          </w:p>
        </w:tc>
      </w:tr>
    </w:tbl>
    <w:p w14:paraId="35CDA619" w14:textId="77777777" w:rsidR="007807B3" w:rsidRDefault="00000000">
      <w:pPr>
        <w:spacing w:before="60" w:after="120"/>
        <w:jc w:val="both"/>
      </w:pPr>
      <w:r>
        <w:rPr>
          <w:i/>
          <w:iCs/>
        </w:rPr>
        <w:t>Observations: The steep fall in the Citizen Credit Co-op. Bank balance, only partly offset by a small rise in the MDCC Bank balance and cash on hand, suggests surplus bank balances were deployed into new Fixed Deposits during the year (Investments rose by a corresponding Rs. 2,78,424.00 - see below), rather than a liquidity concern. The Society may wish to confirm this is a deliberate treasury decision and that the remaining balance is adequate for day-to-day operating needs.</w:t>
      </w:r>
    </w:p>
    <w:p w14:paraId="2D69DBD5" w14:textId="77777777" w:rsidR="007807B3" w:rsidRDefault="00000000">
      <w:pPr>
        <w:spacing w:before="160" w:after="80"/>
      </w:pPr>
      <w:r>
        <w:rPr>
          <w:b/>
          <w:bCs/>
          <w:sz w:val="21"/>
          <w:szCs w:val="21"/>
          <w:u w:val="single"/>
        </w:rPr>
        <w:t>2. Investments</w:t>
      </w:r>
    </w:p>
    <w:p w14:paraId="5123508C" w14:textId="77777777" w:rsidR="007807B3" w:rsidRDefault="00000000">
      <w:pPr>
        <w:spacing w:before="60" w:after="120"/>
        <w:jc w:val="both"/>
      </w:pPr>
      <w:r>
        <w:t>Investments (Fixed Deposits together with interest accrued on fund-linked deposits) rose from Rs. 21,91,339.00 to Rs. 24,69,763.00, an increase of Rs. 2,78,424.00 (+12.70%), consistent with the growth in the Sinking Fund and Major Repair Fund noted above and with fresh FDs placed with MDCC Bank and Citizen Credit Co-op. Bank during the year (see Schedule I of the accounts).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7"/>
        <w:gridCol w:w="1491"/>
        <w:gridCol w:w="1491"/>
        <w:gridCol w:w="1701"/>
        <w:gridCol w:w="1190"/>
      </w:tblGrid>
      <w:tr w:rsidR="007807B3" w14:paraId="0D1C4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5E05A" w14:textId="77777777" w:rsidR="007807B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Particulars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CC033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2024-25 (Rs.)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646C1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2025-26 (Rs.)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55F69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Increase/(Decrease)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A1E62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Change</w:t>
            </w:r>
          </w:p>
        </w:tc>
      </w:tr>
      <w:tr w:rsidR="007807B3" w14:paraId="29C8605C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5FEDD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Fixed Deposits with Banks (Sch-I)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271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21,28,540.00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CAAF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23,99,205.00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8F79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+2,70,665.00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442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+12.72%</w:t>
            </w:r>
          </w:p>
        </w:tc>
      </w:tr>
      <w:tr w:rsidR="007807B3" w14:paraId="063EC95D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57003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Sinking Fund - Accrued Interest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6CB4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31,172.00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03DE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46,017.00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9C3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+14,845.00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065D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+47.62%</w:t>
            </w:r>
          </w:p>
        </w:tc>
      </w:tr>
      <w:tr w:rsidR="007807B3" w14:paraId="372B6F62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F9E5F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Repair Fund - Accrued Interest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751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26,338.00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786E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22,226.00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F822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-4,112.00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095B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-15.61%</w:t>
            </w:r>
          </w:p>
        </w:tc>
      </w:tr>
      <w:tr w:rsidR="007807B3" w14:paraId="3D83BFE6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CD267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Education &amp; Training Fund - Accrued Interest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7E0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492.00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0A13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248.00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D6A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-244.00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502A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-49.59%</w:t>
            </w:r>
          </w:p>
        </w:tc>
      </w:tr>
      <w:tr w:rsidR="007807B3" w14:paraId="20A4487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59E5E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Other Funds - Accrued Interest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93E6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4,797.00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B255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2,067.00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3A4F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-2,730.00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59F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-56.91%</w:t>
            </w:r>
          </w:p>
        </w:tc>
      </w:tr>
      <w:tr w:rsidR="007807B3" w14:paraId="4677C59B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C36F2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 - Investments (FD + Accrued Interest)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4D395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21,91,339.00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5C3AA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24,69,763.00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FFDA4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+2,78,424.00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24EDA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+12.71%</w:t>
            </w:r>
          </w:p>
        </w:tc>
      </w:tr>
    </w:tbl>
    <w:p w14:paraId="7BE49EED" w14:textId="77777777" w:rsidR="007807B3" w:rsidRDefault="00000000">
      <w:pPr>
        <w:spacing w:before="160" w:after="80"/>
      </w:pPr>
      <w:r>
        <w:rPr>
          <w:b/>
          <w:bCs/>
          <w:sz w:val="21"/>
          <w:szCs w:val="21"/>
          <w:u w:val="single"/>
        </w:rPr>
        <w:t>Fixed Deposit Portfolio by Purpose (as at 31.03.2026, per Schedule I)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  <w:gridCol w:w="2500"/>
        <w:gridCol w:w="2500"/>
      </w:tblGrid>
      <w:tr w:rsidR="007807B3" w14:paraId="54520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1DF37" w14:textId="77777777" w:rsidR="007807B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Fund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F0DD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Balance as at 31.03.2026 (Rs.)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0462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of Total FDs</w:t>
            </w:r>
          </w:p>
        </w:tc>
      </w:tr>
      <w:tr w:rsidR="007807B3" w14:paraId="5D5AF042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96026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Sinking Fund FDs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A938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13,86,820.00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9A5D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56.15%</w:t>
            </w:r>
          </w:p>
        </w:tc>
      </w:tr>
      <w:tr w:rsidR="007807B3" w14:paraId="7995ED87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FE9B3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Repair Fund FDs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523B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9,32,905.00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7D2F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37.77%</w:t>
            </w:r>
          </w:p>
        </w:tc>
      </w:tr>
      <w:tr w:rsidR="007807B3" w14:paraId="393407C8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64809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Education Fund FDs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63BA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10,661.00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AC92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0.43%</w:t>
            </w:r>
          </w:p>
        </w:tc>
      </w:tr>
      <w:tr w:rsidR="007807B3" w14:paraId="1CB96D1C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4DFD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Other FDs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B9D9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1,39,377.00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9193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5.64%</w:t>
            </w:r>
          </w:p>
        </w:tc>
      </w:tr>
      <w:tr w:rsidR="007807B3" w14:paraId="7EDC36BD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B9701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Grand Total Fixed Deposits (incl. accrued interest)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CADF2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24,69,763.00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9F9AC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100.00%</w:t>
            </w:r>
          </w:p>
        </w:tc>
      </w:tr>
    </w:tbl>
    <w:p w14:paraId="612CE925" w14:textId="77777777" w:rsidR="007807B3" w:rsidRDefault="00000000">
      <w:pPr>
        <w:spacing w:before="60" w:after="120"/>
        <w:jc w:val="both"/>
      </w:pPr>
      <w:r>
        <w:rPr>
          <w:i/>
          <w:iCs/>
        </w:rPr>
        <w:t>Of the total FD portfolio of Rs. 24,69,763.00 as at 31.03.2026, the large majority (over 94%) is earmarked to the Sinking Fund and Repair Fund, both placed with MDCC Bank and Citizen Credit Co-op. Bank at rates ranging between 6.25% and 7.5% p.a.</w:t>
      </w:r>
    </w:p>
    <w:p w14:paraId="12F90D48" w14:textId="77777777" w:rsidR="007807B3" w:rsidRDefault="00000000">
      <w:pPr>
        <w:spacing w:before="160" w:after="80"/>
      </w:pPr>
      <w:r>
        <w:rPr>
          <w:b/>
          <w:bCs/>
          <w:sz w:val="21"/>
          <w:szCs w:val="21"/>
          <w:u w:val="single"/>
        </w:rPr>
        <w:t>3. Other Assets</w:t>
      </w:r>
    </w:p>
    <w:p w14:paraId="777F38A7" w14:textId="77777777" w:rsidR="007807B3" w:rsidRDefault="00000000">
      <w:pPr>
        <w:spacing w:before="60" w:after="120"/>
        <w:jc w:val="both"/>
      </w:pPr>
      <w:r>
        <w:t>The remaining asset items are summarised below.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7"/>
        <w:gridCol w:w="1490"/>
        <w:gridCol w:w="1490"/>
        <w:gridCol w:w="1701"/>
        <w:gridCol w:w="1192"/>
      </w:tblGrid>
      <w:tr w:rsidR="007807B3" w14:paraId="2F9E1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D5308" w14:textId="77777777" w:rsidR="007807B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Particulars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73732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2024-25 (Rs.)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D321D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2025-26 (Rs.)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837CF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Increase/(Decrease)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1DFA8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Change</w:t>
            </w:r>
          </w:p>
        </w:tc>
      </w:tr>
      <w:tr w:rsidR="007807B3" w14:paraId="0627CF76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92686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Share of MDHF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CD0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06F8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3C24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FBEC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2EAA59BD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EA78D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Deposit - Adani Electricity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EA33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6,184.72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4A6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6,184.72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B079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F123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4417612A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1835F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Advance to Vendors (Sch-III)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9B9F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1,00,000.00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F11A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1,00,000.00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982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906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221A3BC9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7719B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TDS Receivable on Bank Interest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2FF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15,586.00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3A6D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29,052.00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5880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+13,466.00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1997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+86.40%</w:t>
            </w:r>
          </w:p>
        </w:tc>
      </w:tr>
      <w:tr w:rsidR="007807B3" w14:paraId="6D997995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44CBC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Fixed Assets (Sch-II, net of depreciation)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0A36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30,44,199.00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C83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30,37,031.00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1B99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-7,168.00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8F19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-0.24%</w:t>
            </w:r>
          </w:p>
        </w:tc>
      </w:tr>
      <w:tr w:rsidR="007807B3" w14:paraId="65F60224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A44C3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Prepaid Expenses - Building Insurance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CBB9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16,999.00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5660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16,632.00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7C9A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-367.00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0AEF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-2.16%</w:t>
            </w:r>
          </w:p>
        </w:tc>
      </w:tr>
      <w:tr w:rsidR="007807B3" w14:paraId="15987D4C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CFDF0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Income &amp; Expenditure A/c (accumulated deficit carried as asset)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6B86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29,452.68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C330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97,313.48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FADC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+67,860.80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A714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+230.41%</w:t>
            </w:r>
          </w:p>
        </w:tc>
      </w:tr>
    </w:tbl>
    <w:p w14:paraId="160B918C" w14:textId="77777777" w:rsidR="007807B3" w:rsidRDefault="00000000">
      <w:pPr>
        <w:spacing w:before="60" w:after="120"/>
        <w:jc w:val="both"/>
      </w:pPr>
      <w:r>
        <w:rPr>
          <w:i/>
          <w:iCs/>
        </w:rPr>
        <w:t>Observations: TDS Receivable on Bank Interest rose 86.40% (Rs. 15,586.00 to Rs. 29,052.00), tracking the increase in FD interest income. Fixed Assets declined marginally by 0.24% (Rs. 7,168.00), representing depreciation for the year only - no additions were made to Fixed Assets during FY 2025-26 (per Schedule II). Advance to Vendors (Rs. 1,00,000.00, entirely towards Adv. P. Vaz) and the Adani Electricity deposit (Rs. 6,184.72) remained unchanged.</w:t>
      </w:r>
    </w:p>
    <w:p w14:paraId="54DB5F88" w14:textId="77777777" w:rsidR="007807B3" w:rsidRDefault="00000000">
      <w:pPr>
        <w:spacing w:before="160" w:after="80"/>
      </w:pPr>
      <w:r>
        <w:rPr>
          <w:b/>
          <w:bCs/>
          <w:sz w:val="21"/>
          <w:szCs w:val="21"/>
          <w:u w:val="single"/>
        </w:rPr>
        <w:t>4. Income &amp; Expenditure Account (Accumulated Deficit shown as an Asset)</w:t>
      </w:r>
    </w:p>
    <w:p w14:paraId="7EECBCAB" w14:textId="77777777" w:rsidR="007807B3" w:rsidRDefault="00000000">
      <w:pPr>
        <w:spacing w:before="60" w:after="120"/>
        <w:jc w:val="both"/>
      </w:pPr>
      <w:r>
        <w:rPr>
          <w:i/>
          <w:iCs/>
        </w:rPr>
        <w:t>The most significant movement on the Assets side is the Income &amp; Expenditure Account balance - representing the Society's accumulated deficit carried forward - which increased from Rs. 29,452.68 to Rs. 97,313.48, a rise of Rs. 67,860.80 (+230.42%). This increase reflects (a) a credit note of Rs. 64,368.00 towards property tax for FY 2022-25 adjusted this year, and (b) the current year's operating deficit of Rs. 3,492.80. As this balance represents accumulated losses rather than a realisable asset, its continued growth warrants monitoring, though the FY 2025-26 addition is far smaller than the prior year's.</w:t>
      </w:r>
    </w:p>
    <w:p w14:paraId="5B0EEB46" w14:textId="77777777" w:rsidR="007807B3" w:rsidRDefault="00000000">
      <w:pPr>
        <w:spacing w:before="160" w:after="80"/>
      </w:pPr>
      <w:r>
        <w:rPr>
          <w:b/>
          <w:bCs/>
          <w:sz w:val="21"/>
          <w:szCs w:val="21"/>
          <w:u w:val="single"/>
        </w:rPr>
        <w:t>Summary - Assets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7"/>
        <w:gridCol w:w="1490"/>
        <w:gridCol w:w="1490"/>
        <w:gridCol w:w="1701"/>
        <w:gridCol w:w="1192"/>
      </w:tblGrid>
      <w:tr w:rsidR="007807B3" w14:paraId="28AE4D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4BFB5" w14:textId="77777777" w:rsidR="007807B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Particulars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B7672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2024-25 (Rs.)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BB846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2025-26 (Rs.)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92C80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Increase/(Decrease)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CE085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Change</w:t>
            </w:r>
          </w:p>
        </w:tc>
      </w:tr>
      <w:tr w:rsidR="007807B3" w14:paraId="5779EA30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07872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Cash &amp; Bank Balances (as detailed above)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9886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2,19,902.60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1B85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1,13,419.80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9F05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-1,06,482.80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3AC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-48.42%</w:t>
            </w:r>
          </w:p>
        </w:tc>
      </w:tr>
      <w:tr w:rsidR="007807B3" w14:paraId="37D1E497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A23FA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Investments incl. 1 Share of MDHF (as detailed above)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3274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21,91,439.00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6B99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24,69,863.00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9C34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+2,78,424.00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6095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+12.71%</w:t>
            </w:r>
          </w:p>
        </w:tc>
      </w:tr>
      <w:tr w:rsidR="007807B3" w14:paraId="2BDF5F39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B4A5A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Deposit - Adani Electricity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01BD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6,184.72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8C2F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6,184.72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A95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8609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458A5CAD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CEAC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Advance to Vendors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9627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1,00,000.00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3621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1,00,000.00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71E0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75D7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5242FF24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231C9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TDS Receivable on Bank Interest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CDD2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15,586.00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D526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29,052.00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DF69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+13,466.00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A67F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+86.40%</w:t>
            </w:r>
          </w:p>
        </w:tc>
      </w:tr>
      <w:tr w:rsidR="007807B3" w14:paraId="3158E13B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2D973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Fixed Assets (net of depreciation)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F4A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30,44,199.00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2AFD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30,37,031.00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FB63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-7,168.00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E859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-0.24%</w:t>
            </w:r>
          </w:p>
        </w:tc>
      </w:tr>
      <w:tr w:rsidR="007807B3" w14:paraId="529CC8BD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55E50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Prepaid Expenses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00A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16,999.00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5B51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16,632.00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257C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-367.00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E4E4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-2.16%</w:t>
            </w:r>
          </w:p>
        </w:tc>
      </w:tr>
      <w:tr w:rsidR="007807B3" w14:paraId="75A0ACE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DCC2E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Income &amp; Expenditure A/c (accumulated deficit)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EF28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29,452.68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FB8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97,313.48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F9B9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+67,860.80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0E93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+230.41%</w:t>
            </w:r>
          </w:p>
        </w:tc>
      </w:tr>
      <w:tr w:rsidR="007807B3" w14:paraId="5FE7B65F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5779A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 ASSETS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A2197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56,23,763.00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851C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58,69,496.00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A422F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+2,45,733.00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9FC0F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+4.37%</w:t>
            </w:r>
          </w:p>
        </w:tc>
      </w:tr>
    </w:tbl>
    <w:p w14:paraId="574C3C11" w14:textId="77777777" w:rsidR="007807B3" w:rsidRDefault="00000000">
      <w:r>
        <w:br w:type="page"/>
      </w:r>
    </w:p>
    <w:p w14:paraId="22C43B05" w14:textId="038F5F71" w:rsidR="00D7121E" w:rsidRDefault="00D7121E">
      <w:r w:rsidRPr="00D7121E">
        <w:lastRenderedPageBreak/>
        <w:t>The minutes of the above meetings are print outs pasted in the minute book.</w:t>
      </w:r>
    </w:p>
    <w:p w14:paraId="22A9450C" w14:textId="77777777" w:rsidR="007807B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SECTION II: INCOME &amp; EXPENDITURE COMPARISON</w:t>
      </w:r>
    </w:p>
    <w:p w14:paraId="52CAB446" w14:textId="77777777" w:rsidR="007807B3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Overview</w:t>
      </w:r>
    </w:p>
    <w:p w14:paraId="4572D63E" w14:textId="77777777" w:rsidR="007807B3" w:rsidRDefault="00000000">
      <w:pPr>
        <w:spacing w:before="60" w:after="120"/>
        <w:jc w:val="both"/>
      </w:pPr>
      <w:r>
        <w:t>The Society's core operating income (maintenance collection, other income and net interest earned, i.e. excluding the balancing deficit figure) was broadly stable, moving from Rs. 6,20,527.00 in FY 2024-25 to Rs. 6,18,229.00 in FY 2025-26 (-0.37%). Total Expenditure, however, fell sharply from Rs. 9,30,859.80 to Rs. 6,21,721.80 (-33.21%), almost entirely because FY 2024-25 carried a one-time, non-recurring Deemed Conveyance-related expense (net Rs. 2,53,200.00 after transfer to liability) that did not repeat in FY 2025-26. As a direct result, the Society's operating deficit narrowed dramatically, from Rs. 3,10,332.80 in FY 2024-25 to just Rs. 3,492.80 in FY 2025-26, an improvement of Rs. 3,06,840.00 (+98.87%).</w:t>
      </w:r>
    </w:p>
    <w:p w14:paraId="6191E92E" w14:textId="77777777" w:rsidR="007807B3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Income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1488"/>
        <w:gridCol w:w="1488"/>
        <w:gridCol w:w="1701"/>
        <w:gridCol w:w="1192"/>
      </w:tblGrid>
      <w:tr w:rsidR="007807B3" w14:paraId="31AF01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B6FB0" w14:textId="77777777" w:rsidR="007807B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Particulars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894F2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2024-25 (Rs.)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6D1DE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2025-26 (Rs.)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E1635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Increase/(Decrease)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69998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Change</w:t>
            </w:r>
          </w:p>
        </w:tc>
      </w:tr>
      <w:tr w:rsidR="007807B3" w14:paraId="00234885" w14:textId="77777777">
        <w:tblPrEx>
          <w:tblCellMar>
            <w:top w:w="0" w:type="dxa"/>
            <w:bottom w:w="0" w:type="dxa"/>
          </w:tblCellMar>
        </w:tblPrEx>
        <w:tc>
          <w:tcPr>
            <w:tcW w:w="9550" w:type="dxa"/>
            <w:gridSpan w:val="5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EA0A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Maintenance Collection from Members</w:t>
            </w:r>
          </w:p>
        </w:tc>
      </w:tr>
      <w:tr w:rsidR="007807B3" w14:paraId="313086FE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1C359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Maintenance Charges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00D8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59,688.00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4580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59,688.00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2BA4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1CBB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3008590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8682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Property Tax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FF79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1,29,228.00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AA8A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1,50,096.00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4390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+20,868.00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C83C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+16.15%</w:t>
            </w:r>
          </w:p>
        </w:tc>
      </w:tr>
      <w:tr w:rsidR="007807B3" w14:paraId="37E8A69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B9B56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Water Charges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3048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30,720.00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1005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30,720.00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7C36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03B8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43A110E8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B2AE5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Electricity Charges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976B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55,200.00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B6CE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55,200.00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D6C0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706E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657108D8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25C37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Non-Occupancy Charges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86BD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20,229.00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0A5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18,871.00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B9E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-1,358.00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B5D8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-6.71%</w:t>
            </w:r>
          </w:p>
        </w:tc>
      </w:tr>
      <w:tr w:rsidR="007807B3" w14:paraId="2BDC3B9A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D34C4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Parking Charges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051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19,500.00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52A0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14,400.00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1C8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-5,100.00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23E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-26.15%</w:t>
            </w:r>
          </w:p>
        </w:tc>
      </w:tr>
      <w:tr w:rsidR="007807B3" w14:paraId="7BD76388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74A21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Service Charges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9CE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1,80,000.00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6CCE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1,80,000.00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110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A72E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02AC6E74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4129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Late Payment Interest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A72F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73.00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9935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277.00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9AF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+204.00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6B7F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+279.45%</w:t>
            </w:r>
          </w:p>
        </w:tc>
      </w:tr>
      <w:tr w:rsidR="007807B3" w14:paraId="2AA7A9DB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604F3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Building Insurance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8A99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3,564.00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E98A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3,564.00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7BF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6794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5F72333A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C0335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Legal Charges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40FE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40,500.00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1D58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24,000.00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944A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-16,500.00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BA5B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-40.74%</w:t>
            </w:r>
          </w:p>
        </w:tc>
      </w:tr>
      <w:tr w:rsidR="007807B3" w14:paraId="537E6A52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423AB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Sub-Total - Maintenance Collection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92AAA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5,38,702.00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6A9E6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5,36,816.00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0DD5B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-1,886.00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8CF1E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-0.35%</w:t>
            </w:r>
          </w:p>
        </w:tc>
      </w:tr>
      <w:tr w:rsidR="007807B3" w14:paraId="25B15209" w14:textId="77777777">
        <w:tblPrEx>
          <w:tblCellMar>
            <w:top w:w="0" w:type="dxa"/>
            <w:bottom w:w="0" w:type="dxa"/>
          </w:tblCellMar>
        </w:tblPrEx>
        <w:tc>
          <w:tcPr>
            <w:tcW w:w="9550" w:type="dxa"/>
            <w:gridSpan w:val="5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9D03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Other Income</w:t>
            </w:r>
          </w:p>
        </w:tc>
      </w:tr>
      <w:tr w:rsidR="007807B3" w14:paraId="3C67A467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4E3DC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Miscellaneous Income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386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F8EB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3,000.00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278D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+3,000.00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1B34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New</w:t>
            </w:r>
          </w:p>
        </w:tc>
      </w:tr>
      <w:tr w:rsidR="007807B3" w14:paraId="7384ABB5" w14:textId="77777777">
        <w:tblPrEx>
          <w:tblCellMar>
            <w:top w:w="0" w:type="dxa"/>
            <w:bottom w:w="0" w:type="dxa"/>
          </w:tblCellMar>
        </w:tblPrEx>
        <w:tc>
          <w:tcPr>
            <w:tcW w:w="9550" w:type="dxa"/>
            <w:gridSpan w:val="5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D5B0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Interest Received from Banks</w:t>
            </w:r>
          </w:p>
        </w:tc>
      </w:tr>
      <w:tr w:rsidR="007807B3" w14:paraId="264672CF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C38D0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Interest on Savings Deposit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C595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8,239.00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CD11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7,585.00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D97A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-654.00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9BB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-7.94%</w:t>
            </w:r>
          </w:p>
        </w:tc>
      </w:tr>
      <w:tr w:rsidR="007807B3" w14:paraId="14725609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F3E2C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Interest on Fixed Deposits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1090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1,55,781.00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54DA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1,68,134.00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0EB4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+12,353.00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E634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+7.93%</w:t>
            </w:r>
          </w:p>
        </w:tc>
      </w:tr>
      <w:tr w:rsidR="007807B3" w14:paraId="48330B8C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B4B33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Less: Transferred to Sinking Fund FD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0924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-82,277.00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BB2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-96,672.00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D60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-14,395.00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D75F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-17.50%</w:t>
            </w:r>
          </w:p>
        </w:tc>
      </w:tr>
      <w:tr w:rsidR="007807B3" w14:paraId="39B8395E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EE800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Less: Transferred to Repair Fund FD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48A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B03C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D1D0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025D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</w:tr>
      <w:tr w:rsidR="007807B3" w14:paraId="3FC39D1C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D8EA8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Less: Transferred to Education &amp; Training Fund FD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6B61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-376.00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59D1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-634.00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8C01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-258.00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F184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-68.62%</w:t>
            </w:r>
          </w:p>
        </w:tc>
      </w:tr>
      <w:tr w:rsidR="007807B3" w14:paraId="6D917A5E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06EC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Less: Transferred to Major Repair Fund FD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97E1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67FC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1168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A81C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</w:tr>
      <w:tr w:rsidR="007807B3" w14:paraId="1B23B8AC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06881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Interest Income from IT Refund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5D62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458.00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6A13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2AB3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-458.00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E613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-100.00%</w:t>
            </w:r>
          </w:p>
        </w:tc>
      </w:tr>
      <w:tr w:rsidR="007807B3" w14:paraId="4B77AEDD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05B7A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Excess of Expenditure over Income for the year (deficit)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2B9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3,10,332.80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00D2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3,492.80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4CF2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-3,06,840.00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C0A6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-98.87%</w:t>
            </w:r>
          </w:p>
        </w:tc>
      </w:tr>
      <w:tr w:rsidR="007807B3" w14:paraId="47A3A53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C3CE3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 INCOME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899D2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9,30,859.80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1E076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6,21,721.80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DA2B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-3,09,138.00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9285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-33.21%</w:t>
            </w:r>
          </w:p>
        </w:tc>
      </w:tr>
    </w:tbl>
    <w:p w14:paraId="6C0567CC" w14:textId="77777777" w:rsidR="007807B3" w:rsidRDefault="00000000">
      <w:pPr>
        <w:spacing w:before="60" w:after="120"/>
        <w:jc w:val="both"/>
      </w:pPr>
      <w:r>
        <w:rPr>
          <w:i/>
          <w:iCs/>
        </w:rPr>
        <w:t xml:space="preserve">Observations: Maintenance collection was broadly flat (-0.35%) - most per-flat charge heads (Maintenance, Water, Electricity, Service and Building Insurance Charges) were unchanged, consistent with no revision in the maintenance </w:t>
      </w:r>
      <w:r>
        <w:rPr>
          <w:i/>
          <w:iCs/>
        </w:rPr>
        <w:lastRenderedPageBreak/>
        <w:t>tariff. Property Tax recovery from members rose 16.15%, tracking higher municipal tax levies passed through to members. Parking Charges fell 26.15% and Legal Charges recovered from members fell 40.74%. Interest income on Fixed Deposits rose 7.93%, in line with the larger FD portfolio, while a larger share (Rs. 96,672.00 versus Rs. 82,277.00) was set aside back into the Sinking Fund as required.</w:t>
      </w:r>
    </w:p>
    <w:p w14:paraId="266BFEE3" w14:textId="77777777" w:rsidR="007807B3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Expenditure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1488"/>
        <w:gridCol w:w="1488"/>
        <w:gridCol w:w="1701"/>
        <w:gridCol w:w="1192"/>
      </w:tblGrid>
      <w:tr w:rsidR="007807B3" w14:paraId="1D7388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E1505" w14:textId="77777777" w:rsidR="007807B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Particulars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3064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2024-25 (Rs.)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2426C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 2025-26 (Rs.)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AF7C2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Increase/(Decrease)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B51B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Change</w:t>
            </w:r>
          </w:p>
        </w:tc>
      </w:tr>
      <w:tr w:rsidR="007807B3" w14:paraId="163599F2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0D45A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Property Tax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6D7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1,13,072.00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84AB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1,03,232.00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76DD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-9,840.00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E2B7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-8.70%</w:t>
            </w:r>
          </w:p>
        </w:tc>
      </w:tr>
      <w:tr w:rsidR="007807B3" w14:paraId="57731798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F9130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Property Tax - RG Area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1A1B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38,163.00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146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9268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-38,163.00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7FFF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-100.00%</w:t>
            </w:r>
          </w:p>
        </w:tc>
      </w:tr>
      <w:tr w:rsidR="007807B3" w14:paraId="1DDB9E1D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D07E5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Building Insurance Charges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4C8B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18,249.00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E26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18,222.00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05FE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-27.00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D0C3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-0.15%</w:t>
            </w:r>
          </w:p>
        </w:tc>
      </w:tr>
      <w:tr w:rsidR="007807B3" w14:paraId="0853888B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D6E1E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Water Expenses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6357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32,400.00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EC5E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32,375.00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B833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-25.00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4B8D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-0.08%</w:t>
            </w:r>
          </w:p>
        </w:tc>
      </w:tr>
      <w:tr w:rsidR="007807B3" w14:paraId="07769809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9E2B7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Water Tank Cleaning Expense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B2C0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495B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4,000.00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0FF9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+4,000.00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7FC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New</w:t>
            </w:r>
          </w:p>
        </w:tc>
      </w:tr>
      <w:tr w:rsidR="007807B3" w14:paraId="18B6409E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335FC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Electricity Expenses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AEC3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43,452.00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3EDF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43,846.00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BFDB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+394.00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1DE3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+0.91%</w:t>
            </w:r>
          </w:p>
        </w:tc>
      </w:tr>
      <w:tr w:rsidR="007807B3" w14:paraId="13847176" w14:textId="77777777">
        <w:tblPrEx>
          <w:tblCellMar>
            <w:top w:w="0" w:type="dxa"/>
            <w:bottom w:w="0" w:type="dxa"/>
          </w:tblCellMar>
        </w:tblPrEx>
        <w:tc>
          <w:tcPr>
            <w:tcW w:w="9550" w:type="dxa"/>
            <w:gridSpan w:val="5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AB11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Repairs &amp; Maintenance</w:t>
            </w:r>
          </w:p>
        </w:tc>
      </w:tr>
      <w:tr w:rsidR="007807B3" w14:paraId="0EC35D54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17DE1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Other Repair &amp; Maintenance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6FB8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13,350.00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D2FC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35,399.00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DEFA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+22,049.00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FD32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+165.16%</w:t>
            </w:r>
          </w:p>
        </w:tc>
      </w:tr>
      <w:tr w:rsidR="007807B3" w14:paraId="0CAEB307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005CD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Electrical Expenses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82B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3,040.00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22FB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2,955.00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CA69F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-85.00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0C4E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-2.80%</w:t>
            </w:r>
          </w:p>
        </w:tc>
      </w:tr>
      <w:tr w:rsidR="007807B3" w14:paraId="395F86EF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6D69B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Water Pump AMC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3C19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1,900.00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68A0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B30F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-1,900.00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1A97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-100.00%</w:t>
            </w:r>
          </w:p>
        </w:tc>
      </w:tr>
      <w:tr w:rsidR="007807B3" w14:paraId="57074AC9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861F5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Sub-Total - Repairs &amp; Maintenance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2B365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18,290.00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8F6CB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38,354.00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0A011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+20,064.00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9693F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+109.70%</w:t>
            </w:r>
          </w:p>
        </w:tc>
      </w:tr>
      <w:tr w:rsidR="007807B3" w14:paraId="4853ABD1" w14:textId="77777777">
        <w:tblPrEx>
          <w:tblCellMar>
            <w:top w:w="0" w:type="dxa"/>
            <w:bottom w:w="0" w:type="dxa"/>
          </w:tblCellMar>
        </w:tblPrEx>
        <w:tc>
          <w:tcPr>
            <w:tcW w:w="9550" w:type="dxa"/>
            <w:gridSpan w:val="5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E400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Administrative Expenses</w:t>
            </w:r>
          </w:p>
        </w:tc>
      </w:tr>
      <w:tr w:rsidR="007807B3" w14:paraId="62C06E25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34645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Salary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B9AA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1,78,600.00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8235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1,50,100.00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0054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-28,500.00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6BA9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-15.96%</w:t>
            </w:r>
          </w:p>
        </w:tc>
      </w:tr>
      <w:tr w:rsidR="007807B3" w14:paraId="43F39ECC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E6BFE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Security Expense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ADF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1,48,500.00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C9E0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1,55,760.00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7213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+7,260.00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267C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+4.89%</w:t>
            </w:r>
          </w:p>
        </w:tc>
      </w:tr>
      <w:tr w:rsidR="007807B3" w14:paraId="6257B56A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FD4CB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Accounting Charges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3640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24,000.00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1838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26,400.00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F150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+2,400.00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7731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+10.00%</w:t>
            </w:r>
          </w:p>
        </w:tc>
      </w:tr>
      <w:tr w:rsidR="007807B3" w14:paraId="3D639687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77ED8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Bank Charges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A0E6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70.80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7F29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424.80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17A6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+354.00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46B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+500.00%</w:t>
            </w:r>
          </w:p>
        </w:tc>
      </w:tr>
      <w:tr w:rsidR="007807B3" w14:paraId="64BBA0DD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29907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Membership &amp; Subscription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56F2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826.00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6A55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826.00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25AA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C3A7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7290239E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39C5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Deemed Conveyance Expense (net of transfer to liability)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FFB3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2,53,200.00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D6E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25F4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-2,53,200.00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D9D8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-100.00%</w:t>
            </w:r>
          </w:p>
        </w:tc>
      </w:tr>
      <w:tr w:rsidR="007807B3" w14:paraId="1D373E2B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368B9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Meeting Expenses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552A7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14,425.00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0BB8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30,871.00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6918B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+16,446.00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A4C2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+114.01%</w:t>
            </w:r>
          </w:p>
        </w:tc>
      </w:tr>
      <w:tr w:rsidR="007807B3" w14:paraId="1DF76647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8C997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Office Expense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A9B1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DB215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2,170.00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57D7D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+2,170.00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DE2E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New</w:t>
            </w:r>
          </w:p>
        </w:tc>
      </w:tr>
      <w:tr w:rsidR="007807B3" w14:paraId="42D26D4F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B63EC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Printing &amp; Stationery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51C11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13,589.00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28F04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5,873.00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57A4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-7,716.00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19A8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-56.78%</w:t>
            </w:r>
          </w:p>
        </w:tc>
      </w:tr>
      <w:tr w:rsidR="007807B3" w14:paraId="4FF1ED45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84D23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Audit Fees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3FE9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2,100.00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B06F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2,100.00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850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4013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+0.00%</w:t>
            </w:r>
          </w:p>
        </w:tc>
      </w:tr>
      <w:tr w:rsidR="007807B3" w14:paraId="7B7F114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85E24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Legal &amp; Professional Charges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0380A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23,500.00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28A8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883E0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-23,500.00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822E2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-100.00%</w:t>
            </w:r>
          </w:p>
        </w:tc>
      </w:tr>
      <w:tr w:rsidR="007807B3" w14:paraId="0AED8EA2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63D63" w14:textId="77777777" w:rsidR="007807B3" w:rsidRDefault="00000000">
            <w:pPr>
              <w:spacing w:before="20" w:after="20"/>
            </w:pPr>
            <w:r>
              <w:rPr>
                <w:sz w:val="18"/>
                <w:szCs w:val="18"/>
              </w:rPr>
              <w:t>Depreciation on Fixed Assets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DD728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8,423.00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3EB59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7,168.00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C306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-1,255.00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E833C" w14:textId="77777777" w:rsidR="007807B3" w:rsidRDefault="00000000"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>-14.90%</w:t>
            </w:r>
          </w:p>
        </w:tc>
      </w:tr>
      <w:tr w:rsidR="007807B3" w14:paraId="5132C81E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59DAA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Sub-Total - Administrative Expenses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E612A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6,67,233.80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2835D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3,81,692.80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67156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-2,85,541.00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6AEF5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-42.79%</w:t>
            </w:r>
          </w:p>
        </w:tc>
      </w:tr>
      <w:tr w:rsidR="007807B3" w14:paraId="64371FDB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3FBF2" w14:textId="77777777" w:rsidR="007807B3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 EXPENDITURE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52C9B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9,30,859.80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D3144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6,21,721.80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7DA64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-3,09,138.00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1FC41" w14:textId="77777777" w:rsidR="007807B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-33.21%</w:t>
            </w:r>
          </w:p>
        </w:tc>
      </w:tr>
    </w:tbl>
    <w:p w14:paraId="31CDF105" w14:textId="77777777" w:rsidR="007807B3" w:rsidRDefault="00000000">
      <w:pPr>
        <w:spacing w:before="60" w:after="120"/>
        <w:jc w:val="both"/>
      </w:pPr>
      <w:r>
        <w:rPr>
          <w:i/>
          <w:iCs/>
        </w:rPr>
        <w:t>Observations: The 33.21% fall in total expenditure is dominated by the absence of the FY 2024-25 Deemed Conveyance expense (Rs. 8,53,200.00 gross, Rs. 2,53,200.00 net of the amount transferred to liability) - excluding this one-off item, underlying administrative and operating expenditure was broadly comparable year-on-year, with some offsetting movements: Salary fell 15.96% while Security Expense rose 4.89%; Meeting Expenses more than doubled (+114.02%) and Other Repair &amp; Maintenance rose 165.16% (Rs. 13,350.00 to Rs. 35,399.00); Legal &amp; Professional Charges and Property Tax - RG Area both fell to Nil. Repairs &amp; Maintenance as a whole rose 109.70%, though off a small base.</w:t>
      </w:r>
    </w:p>
    <w:p w14:paraId="44A42C33" w14:textId="77777777" w:rsidR="007807B3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KEY OBSERVATIONS &amp; POINTS FOR MANAGEMENT ATTENTION</w:t>
      </w:r>
    </w:p>
    <w:p w14:paraId="69408321" w14:textId="77777777" w:rsidR="007807B3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Overall financial position strengthened modestly - the Balance Sheet grew 4.37% and the operating deficit narrowed by 98.87%, mainly because the one-time Deemed Conveyance cost of FY 2024-25 did not recur.</w:t>
      </w:r>
    </w:p>
    <w:p w14:paraId="6AF38AB0" w14:textId="77777777" w:rsidR="007807B3" w:rsidRDefault="00000000">
      <w:pPr>
        <w:pStyle w:val="ListParagraph"/>
        <w:numPr>
          <w:ilvl w:val="0"/>
          <w:numId w:val="1"/>
        </w:numPr>
        <w:spacing w:before="40" w:after="40"/>
      </w:pPr>
      <w:r>
        <w:t>Core income (maintenance and interest) was nearly flat; the Society may wish to review whether current maintenance tariffs remain adequate to fully cover recurring costs and eliminate the residual annual deficit.</w:t>
      </w:r>
    </w:p>
    <w:p w14:paraId="1C1C6BE3" w14:textId="77777777" w:rsidR="007807B3" w:rsidRDefault="00000000">
      <w:pPr>
        <w:pStyle w:val="ListParagraph"/>
        <w:numPr>
          <w:ilvl w:val="0"/>
          <w:numId w:val="1"/>
        </w:numPr>
        <w:spacing w:before="40" w:after="40"/>
      </w:pPr>
      <w:r>
        <w:t>Cash &amp; Bank balances fell 48.42% - largely redeployed into Fixed Deposits (Investments +12.70%); worth confirming this was a deliberate treasury decision and that operating cash remains sufficient.</w:t>
      </w:r>
    </w:p>
    <w:p w14:paraId="0963B750" w14:textId="77777777" w:rsidR="007807B3" w:rsidRDefault="00000000">
      <w:pPr>
        <w:pStyle w:val="ListParagraph"/>
        <w:numPr>
          <w:ilvl w:val="0"/>
          <w:numId w:val="1"/>
        </w:numPr>
        <w:spacing w:before="40" w:after="40"/>
      </w:pPr>
      <w:r>
        <w:t>Other Repair &amp; Maintenance expenditure rose sharply (+165.16%) and Meeting Expenses more than doubled (+114.02%) - both worth a closer look to understand the drivers.</w:t>
      </w:r>
    </w:p>
    <w:p w14:paraId="517C355A" w14:textId="77777777" w:rsidR="007807B3" w:rsidRDefault="00000000">
      <w:pPr>
        <w:pStyle w:val="ListParagraph"/>
        <w:numPr>
          <w:ilvl w:val="0"/>
          <w:numId w:val="1"/>
        </w:numPr>
        <w:spacing w:before="40" w:after="40"/>
      </w:pPr>
      <w:r>
        <w:t>The accumulated deficit carried on the Assets side (Income &amp; Expenditure A/c) rose 230.42% to Rs. 97,313.48, though the pace of increase slowed materially versus the prior year; continued monitoring is advisable.</w:t>
      </w:r>
    </w:p>
    <w:p w14:paraId="2517ADDD" w14:textId="77777777" w:rsidR="007807B3" w:rsidRDefault="00000000">
      <w:pPr>
        <w:pStyle w:val="ListParagraph"/>
        <w:numPr>
          <w:ilvl w:val="0"/>
          <w:numId w:val="1"/>
        </w:numPr>
        <w:spacing w:before="40" w:after="40"/>
      </w:pPr>
      <w:r>
        <w:t>Current Liabilities (Advance from Members and Provision &amp; Payables) both rose meaningfully (+29.43% and +46.46%) - recommend review of ageing to ensure timely settlement.</w:t>
      </w:r>
    </w:p>
    <w:p w14:paraId="1875CDE8" w14:textId="77777777" w:rsidR="007807B3" w:rsidRDefault="00000000">
      <w:pPr>
        <w:pStyle w:val="ListParagraph"/>
        <w:numPr>
          <w:ilvl w:val="0"/>
          <w:numId w:val="1"/>
        </w:numPr>
        <w:spacing w:before="40" w:after="40"/>
      </w:pPr>
      <w:r>
        <w:t>Reserve Funds (Sinking Fund, Major Repair Fund, Education &amp; Training Fund) continue to build up as per Bye-laws, providing a healthy cushion for future major repairs and redevelopment-related contingencies.</w:t>
      </w:r>
    </w:p>
    <w:p w14:paraId="7A68EFDB" w14:textId="77777777" w:rsidR="007807B3" w:rsidRDefault="00000000">
      <w:pPr>
        <w:spacing w:before="400"/>
        <w:rPr>
          <w:i/>
          <w:iCs/>
          <w:sz w:val="17"/>
          <w:szCs w:val="17"/>
        </w:rPr>
      </w:pPr>
      <w:r>
        <w:rPr>
          <w:i/>
          <w:iCs/>
          <w:sz w:val="17"/>
          <w:szCs w:val="17"/>
        </w:rPr>
        <w:t xml:space="preserve">Note: This analysis has been prepared from the audited Balance Sheet, Income &amp; Expenditure Account and Schedules of Cherry Blossom Co-op. Housing Society Ltd. for FY 2025-26 (as per report of Shri. Bharat C. </w:t>
      </w:r>
      <w:proofErr w:type="spellStart"/>
      <w:r>
        <w:rPr>
          <w:i/>
          <w:iCs/>
          <w:sz w:val="17"/>
          <w:szCs w:val="17"/>
        </w:rPr>
        <w:t>Boridkar</w:t>
      </w:r>
      <w:proofErr w:type="spellEnd"/>
      <w:r>
        <w:rPr>
          <w:i/>
          <w:iCs/>
          <w:sz w:val="17"/>
          <w:szCs w:val="17"/>
        </w:rPr>
        <w:t>, Govt. Certified Panel Auditor, dated 16th August 2026) and is intended to supplement, not replace, those audited financial statements.</w:t>
      </w:r>
    </w:p>
    <w:p w14:paraId="50143D8C" w14:textId="77777777" w:rsidR="00D7121E" w:rsidRPr="00D7121E" w:rsidRDefault="00D7121E" w:rsidP="00D7121E">
      <w:pPr>
        <w:spacing w:before="400"/>
        <w:rPr>
          <w:i/>
          <w:iCs/>
          <w:sz w:val="24"/>
          <w:szCs w:val="24"/>
        </w:rPr>
      </w:pPr>
      <w:r w:rsidRPr="00D7121E">
        <w:rPr>
          <w:i/>
          <w:iCs/>
          <w:sz w:val="24"/>
          <w:szCs w:val="24"/>
        </w:rPr>
        <w:t>During the course of audit, it is observed that the Society has not caused a Structural Audit of its building to be conducted, despite the building being more than 30 years old (Society registered vide Regd. No. BOM/W</w:t>
      </w:r>
      <w:r w:rsidRPr="00D7121E">
        <w:rPr>
          <w:i/>
          <w:iCs/>
          <w:sz w:val="24"/>
          <w:szCs w:val="24"/>
        </w:rPr>
        <w:noBreakHyphen/>
        <w:t>P/HSG/TC/6681/91</w:t>
      </w:r>
      <w:r w:rsidRPr="00D7121E">
        <w:rPr>
          <w:i/>
          <w:iCs/>
          <w:sz w:val="24"/>
          <w:szCs w:val="24"/>
        </w:rPr>
        <w:noBreakHyphen/>
        <w:t>92, i.e. over 30 years standing as at 31.03.2026).</w:t>
      </w:r>
    </w:p>
    <w:p w14:paraId="338A00B2" w14:textId="77777777" w:rsidR="00D7121E" w:rsidRPr="00D7121E" w:rsidRDefault="00D7121E" w:rsidP="00D7121E">
      <w:pPr>
        <w:spacing w:before="400"/>
        <w:rPr>
          <w:i/>
          <w:iCs/>
          <w:sz w:val="24"/>
          <w:szCs w:val="24"/>
        </w:rPr>
      </w:pPr>
      <w:r w:rsidRPr="00D7121E">
        <w:rPr>
          <w:b/>
          <w:bCs/>
          <w:i/>
          <w:iCs/>
          <w:sz w:val="24"/>
          <w:szCs w:val="24"/>
        </w:rPr>
        <w:t>Statutory/Bye-law requirement:</w:t>
      </w:r>
    </w:p>
    <w:p w14:paraId="50498887" w14:textId="77777777" w:rsidR="00D7121E" w:rsidRPr="00D7121E" w:rsidRDefault="00D7121E" w:rsidP="00D7121E">
      <w:pPr>
        <w:numPr>
          <w:ilvl w:val="0"/>
          <w:numId w:val="2"/>
        </w:numPr>
        <w:spacing w:before="400"/>
        <w:rPr>
          <w:i/>
          <w:iCs/>
          <w:sz w:val="24"/>
          <w:szCs w:val="24"/>
        </w:rPr>
      </w:pPr>
      <w:r w:rsidRPr="00D7121E">
        <w:rPr>
          <w:b/>
          <w:bCs/>
          <w:i/>
          <w:iCs/>
          <w:sz w:val="24"/>
          <w:szCs w:val="24"/>
        </w:rPr>
        <w:t>Bye-law No. 76 of the Model Bye-laws of Co-operative Housing Societies</w:t>
      </w:r>
      <w:r w:rsidRPr="00D7121E">
        <w:rPr>
          <w:i/>
          <w:iCs/>
          <w:sz w:val="24"/>
          <w:szCs w:val="24"/>
        </w:rPr>
        <w:t xml:space="preserve"> (Maharashtra) casts a duty on every Society to cause a Structural Audit of its building to be undertaken — once in every 5 years for buildings aged 15 to 30 years, and once in every 3 years for buildings above 30 years — conducted by an Engineer empanelled with the Municipal Corporation (since the Society falls within Municipal Corporation limits).</w:t>
      </w:r>
    </w:p>
    <w:p w14:paraId="3007710B" w14:textId="77777777" w:rsidR="00D7121E" w:rsidRPr="00D7121E" w:rsidRDefault="00D7121E" w:rsidP="00D7121E">
      <w:pPr>
        <w:numPr>
          <w:ilvl w:val="0"/>
          <w:numId w:val="2"/>
        </w:numPr>
        <w:spacing w:before="400"/>
        <w:rPr>
          <w:i/>
          <w:iCs/>
          <w:sz w:val="24"/>
          <w:szCs w:val="24"/>
        </w:rPr>
      </w:pPr>
      <w:r w:rsidRPr="00D7121E">
        <w:rPr>
          <w:b/>
          <w:bCs/>
          <w:i/>
          <w:iCs/>
          <w:sz w:val="24"/>
          <w:szCs w:val="24"/>
        </w:rPr>
        <w:t>Section 353</w:t>
      </w:r>
      <w:r w:rsidRPr="00D7121E">
        <w:rPr>
          <w:b/>
          <w:bCs/>
          <w:i/>
          <w:iCs/>
          <w:sz w:val="24"/>
          <w:szCs w:val="24"/>
        </w:rPr>
        <w:noBreakHyphen/>
        <w:t>B of the Mumbai Municipal Corporation Act, 1888</w:t>
      </w:r>
      <w:r w:rsidRPr="00D7121E">
        <w:rPr>
          <w:i/>
          <w:iCs/>
          <w:sz w:val="24"/>
          <w:szCs w:val="24"/>
        </w:rPr>
        <w:t xml:space="preserve"> separately and statutorily requires every owner/occupier of a building that has completed 30 years to have it examined by a Structural Engineer registered with the Corporation, and to submit a Structural Stability Certificate (Form 6) to the Municipal Corporation within one year of completion of 30 years, and thereafter at intervals directed by the Commissioner. Failure attracts penalty/prosecution under the Act.</w:t>
      </w:r>
    </w:p>
    <w:p w14:paraId="6735411F" w14:textId="77777777" w:rsidR="00D7121E" w:rsidRPr="00D7121E" w:rsidRDefault="00D7121E" w:rsidP="00D7121E">
      <w:pPr>
        <w:spacing w:before="400"/>
        <w:rPr>
          <w:i/>
          <w:iCs/>
          <w:sz w:val="24"/>
          <w:szCs w:val="24"/>
        </w:rPr>
      </w:pPr>
      <w:r w:rsidRPr="00D7121E">
        <w:rPr>
          <w:b/>
          <w:bCs/>
          <w:i/>
          <w:iCs/>
          <w:sz w:val="24"/>
          <w:szCs w:val="24"/>
        </w:rPr>
        <w:t>Auditor's Remarks:</w:t>
      </w:r>
      <w:r w:rsidRPr="00D7121E">
        <w:rPr>
          <w:i/>
          <w:iCs/>
          <w:sz w:val="24"/>
          <w:szCs w:val="24"/>
        </w:rPr>
        <w:br/>
        <w:t>The Society has not complied with the above requirements during the year under audit. In the absence of a Structural Audit Report/Structural Stability Certificate, the auditor is unable to comment on the structural safety and stability of the building. The Managing Committee is advised to:</w:t>
      </w:r>
    </w:p>
    <w:p w14:paraId="011031E9" w14:textId="77777777" w:rsidR="00D7121E" w:rsidRPr="00D7121E" w:rsidRDefault="00D7121E" w:rsidP="00D7121E">
      <w:pPr>
        <w:numPr>
          <w:ilvl w:val="0"/>
          <w:numId w:val="3"/>
        </w:numPr>
        <w:spacing w:before="400"/>
        <w:rPr>
          <w:i/>
          <w:iCs/>
          <w:sz w:val="24"/>
          <w:szCs w:val="24"/>
        </w:rPr>
      </w:pPr>
      <w:r w:rsidRPr="00D7121E">
        <w:rPr>
          <w:i/>
          <w:iCs/>
          <w:sz w:val="24"/>
          <w:szCs w:val="24"/>
        </w:rPr>
        <w:t>Immediately appoint a Municipal Corporation-empanelled Structural Engineer and get the Structural Audit conducted without further delay.</w:t>
      </w:r>
    </w:p>
    <w:p w14:paraId="65575D7B" w14:textId="77777777" w:rsidR="00D7121E" w:rsidRPr="00D7121E" w:rsidRDefault="00D7121E" w:rsidP="00D7121E">
      <w:pPr>
        <w:numPr>
          <w:ilvl w:val="0"/>
          <w:numId w:val="3"/>
        </w:numPr>
        <w:spacing w:before="400"/>
        <w:rPr>
          <w:i/>
          <w:iCs/>
          <w:sz w:val="24"/>
          <w:szCs w:val="24"/>
        </w:rPr>
      </w:pPr>
      <w:r w:rsidRPr="00D7121E">
        <w:rPr>
          <w:i/>
          <w:iCs/>
          <w:sz w:val="24"/>
          <w:szCs w:val="24"/>
        </w:rPr>
        <w:t>Obtain and submit the Structural Stability Certificate (Form 6) to the concerned Ward Office of MCGM as required under Section 353</w:t>
      </w:r>
      <w:r w:rsidRPr="00D7121E">
        <w:rPr>
          <w:i/>
          <w:iCs/>
          <w:sz w:val="24"/>
          <w:szCs w:val="24"/>
        </w:rPr>
        <w:noBreakHyphen/>
        <w:t>B of the MMC Act.</w:t>
      </w:r>
    </w:p>
    <w:p w14:paraId="63AA2D78" w14:textId="77777777" w:rsidR="00D7121E" w:rsidRPr="00D7121E" w:rsidRDefault="00D7121E" w:rsidP="00D7121E">
      <w:pPr>
        <w:numPr>
          <w:ilvl w:val="0"/>
          <w:numId w:val="3"/>
        </w:numPr>
        <w:spacing w:before="400"/>
        <w:rPr>
          <w:i/>
          <w:iCs/>
          <w:sz w:val="24"/>
          <w:szCs w:val="24"/>
        </w:rPr>
      </w:pPr>
      <w:r w:rsidRPr="00D7121E">
        <w:rPr>
          <w:i/>
          <w:iCs/>
          <w:sz w:val="24"/>
          <w:szCs w:val="24"/>
        </w:rPr>
        <w:lastRenderedPageBreak/>
        <w:t>Place the Structural Audit Report before the Managing Committee/AGBM and undertake any corrective repairs recommended therein.</w:t>
      </w:r>
    </w:p>
    <w:p w14:paraId="129F4E95" w14:textId="77777777" w:rsidR="00D7121E" w:rsidRPr="00D7121E" w:rsidRDefault="00D7121E" w:rsidP="00D7121E">
      <w:pPr>
        <w:numPr>
          <w:ilvl w:val="0"/>
          <w:numId w:val="3"/>
        </w:numPr>
        <w:spacing w:before="400"/>
        <w:rPr>
          <w:i/>
          <w:iCs/>
          <w:sz w:val="24"/>
          <w:szCs w:val="24"/>
        </w:rPr>
      </w:pPr>
      <w:r w:rsidRPr="00D7121E">
        <w:rPr>
          <w:i/>
          <w:iCs/>
          <w:sz w:val="24"/>
          <w:szCs w:val="24"/>
        </w:rPr>
        <w:t>Ensure adequate provisioning through the Major Repair Fund/Sinking Fund for such repairs.</w:t>
      </w:r>
    </w:p>
    <w:p w14:paraId="04965285" w14:textId="77777777" w:rsidR="00D7121E" w:rsidRPr="00D7121E" w:rsidRDefault="00D7121E" w:rsidP="00D7121E">
      <w:pPr>
        <w:spacing w:before="400"/>
        <w:rPr>
          <w:i/>
          <w:iCs/>
          <w:sz w:val="24"/>
          <w:szCs w:val="24"/>
        </w:rPr>
      </w:pPr>
      <w:r w:rsidRPr="00D7121E">
        <w:rPr>
          <w:i/>
          <w:iCs/>
          <w:sz w:val="24"/>
          <w:szCs w:val="24"/>
        </w:rPr>
        <w:t>Non-compliance exposes the Society and its Managing Committee to penal action under the MMC Act and constitutes a violation of the Society's Bye-laws under the Maharashtra Co-operative Societies Act, 1960 and Rules, 1961.</w:t>
      </w:r>
    </w:p>
    <w:p w14:paraId="08F7F35A" w14:textId="77777777" w:rsidR="00D7121E" w:rsidRPr="00D7121E" w:rsidRDefault="00D7121E">
      <w:pPr>
        <w:spacing w:before="400"/>
        <w:rPr>
          <w:i/>
          <w:iCs/>
          <w:sz w:val="24"/>
          <w:szCs w:val="24"/>
        </w:rPr>
      </w:pPr>
    </w:p>
    <w:sectPr w:rsidR="00D7121E" w:rsidRPr="00D7121E">
      <w:headerReference w:type="default" r:id="rId8"/>
      <w:footerReference w:type="default" r:id="rId9"/>
      <w:pgSz w:w="11906" w:h="16838"/>
      <w:pgMar w:top="1000" w:right="1180" w:bottom="1000" w:left="11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01610" w14:textId="77777777" w:rsidR="00CB29FC" w:rsidRDefault="00CB29FC">
      <w:r>
        <w:separator/>
      </w:r>
    </w:p>
  </w:endnote>
  <w:endnote w:type="continuationSeparator" w:id="0">
    <w:p w14:paraId="6C22CB5E" w14:textId="77777777" w:rsidR="00CB29FC" w:rsidRDefault="00CB2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85C7" w14:textId="77777777" w:rsidR="007807B3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7121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7121E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4CA4" w14:textId="77777777" w:rsidR="00CB29FC" w:rsidRDefault="00CB29FC">
      <w:r>
        <w:separator/>
      </w:r>
    </w:p>
  </w:footnote>
  <w:footnote w:type="continuationSeparator" w:id="0">
    <w:p w14:paraId="456EDD46" w14:textId="77777777" w:rsidR="00CB29FC" w:rsidRDefault="00CB2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7CFEE" w14:textId="77777777" w:rsidR="007807B3" w:rsidRDefault="00000000">
    <w:pPr>
      <w:jc w:val="center"/>
    </w:pPr>
    <w:r>
      <w:rPr>
        <w:b/>
        <w:bCs/>
        <w:color w:val="808080"/>
        <w:sz w:val="16"/>
        <w:szCs w:val="16"/>
      </w:rPr>
      <w:t>CHERRY BLOSSOM CO-OP. HOUSING SOCIETY 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B344F"/>
    <w:multiLevelType w:val="hybridMultilevel"/>
    <w:tmpl w:val="8FECF292"/>
    <w:lvl w:ilvl="0" w:tplc="71A41866">
      <w:start w:val="1"/>
      <w:numFmt w:val="bullet"/>
      <w:lvlText w:val="●"/>
      <w:lvlJc w:val="left"/>
      <w:pPr>
        <w:ind w:left="720" w:hanging="360"/>
      </w:pPr>
    </w:lvl>
    <w:lvl w:ilvl="1" w:tplc="6B147DA2">
      <w:start w:val="1"/>
      <w:numFmt w:val="bullet"/>
      <w:lvlText w:val="○"/>
      <w:lvlJc w:val="left"/>
      <w:pPr>
        <w:ind w:left="1440" w:hanging="360"/>
      </w:pPr>
    </w:lvl>
    <w:lvl w:ilvl="2" w:tplc="2B6070C4">
      <w:start w:val="1"/>
      <w:numFmt w:val="bullet"/>
      <w:lvlText w:val="■"/>
      <w:lvlJc w:val="left"/>
      <w:pPr>
        <w:ind w:left="2160" w:hanging="360"/>
      </w:pPr>
    </w:lvl>
    <w:lvl w:ilvl="3" w:tplc="6CE29A0A">
      <w:start w:val="1"/>
      <w:numFmt w:val="bullet"/>
      <w:lvlText w:val="●"/>
      <w:lvlJc w:val="left"/>
      <w:pPr>
        <w:ind w:left="2880" w:hanging="360"/>
      </w:pPr>
    </w:lvl>
    <w:lvl w:ilvl="4" w:tplc="029C7248">
      <w:start w:val="1"/>
      <w:numFmt w:val="bullet"/>
      <w:lvlText w:val="○"/>
      <w:lvlJc w:val="left"/>
      <w:pPr>
        <w:ind w:left="3600" w:hanging="360"/>
      </w:pPr>
    </w:lvl>
    <w:lvl w:ilvl="5" w:tplc="B3A2DD92">
      <w:start w:val="1"/>
      <w:numFmt w:val="bullet"/>
      <w:lvlText w:val="■"/>
      <w:lvlJc w:val="left"/>
      <w:pPr>
        <w:ind w:left="4320" w:hanging="360"/>
      </w:pPr>
    </w:lvl>
    <w:lvl w:ilvl="6" w:tplc="E3FA8DC6">
      <w:start w:val="1"/>
      <w:numFmt w:val="bullet"/>
      <w:lvlText w:val="●"/>
      <w:lvlJc w:val="left"/>
      <w:pPr>
        <w:ind w:left="5040" w:hanging="360"/>
      </w:pPr>
    </w:lvl>
    <w:lvl w:ilvl="7" w:tplc="593E1EBE">
      <w:start w:val="1"/>
      <w:numFmt w:val="bullet"/>
      <w:lvlText w:val="●"/>
      <w:lvlJc w:val="left"/>
      <w:pPr>
        <w:ind w:left="5760" w:hanging="360"/>
      </w:pPr>
    </w:lvl>
    <w:lvl w:ilvl="8" w:tplc="C47A18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2C22B4"/>
    <w:multiLevelType w:val="multilevel"/>
    <w:tmpl w:val="3BD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32F51"/>
    <w:multiLevelType w:val="multilevel"/>
    <w:tmpl w:val="E8EE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149394">
    <w:abstractNumId w:val="0"/>
    <w:lvlOverride w:ilvl="0">
      <w:startOverride w:val="1"/>
    </w:lvlOverride>
  </w:num>
  <w:num w:numId="2" w16cid:durableId="59794764">
    <w:abstractNumId w:val="1"/>
  </w:num>
  <w:num w:numId="3" w16cid:durableId="1879118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7B3"/>
    <w:rsid w:val="006C5A3F"/>
    <w:rsid w:val="007807B3"/>
    <w:rsid w:val="00CB29FC"/>
    <w:rsid w:val="00CF73D5"/>
    <w:rsid w:val="00D7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9F3E"/>
  <w15:docId w15:val="{D805C8EF-4CE2-4EEF-BCA2-C4D846B6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18417-78EC-42CE-A828-FD5C31E6B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2814</Words>
  <Characters>16046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bharatboridkar@gmail.com</cp:lastModifiedBy>
  <cp:revision>3</cp:revision>
  <dcterms:created xsi:type="dcterms:W3CDTF">2026-08-16T11:42:00Z</dcterms:created>
  <dcterms:modified xsi:type="dcterms:W3CDTF">2026-08-16T14:45:00Z</dcterms:modified>
</cp:coreProperties>
</file>